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81" w:rsidRPr="004951BF" w:rsidRDefault="009D7181">
      <w:pPr>
        <w:pStyle w:val="GowlingsCentre"/>
        <w:rPr>
          <w:bCs/>
        </w:rPr>
      </w:pPr>
      <w:r w:rsidRPr="004951BF">
        <w:rPr>
          <w:bCs/>
        </w:rPr>
        <w:t>RESOLUTION</w:t>
      </w:r>
      <w:r w:rsidR="00723F87">
        <w:rPr>
          <w:bCs/>
        </w:rPr>
        <w:t xml:space="preserve"> </w:t>
      </w:r>
      <w:r w:rsidRPr="004951BF">
        <w:rPr>
          <w:bCs/>
        </w:rPr>
        <w:t xml:space="preserve">OF THE </w:t>
      </w:r>
      <w:r w:rsidR="003D6356">
        <w:rPr>
          <w:bCs/>
        </w:rPr>
        <w:t>PROVISIONAL BOARD OF DIRECTORS</w:t>
      </w:r>
    </w:p>
    <w:p w:rsidR="009D7181" w:rsidRPr="004951BF" w:rsidRDefault="009D7181">
      <w:pPr>
        <w:pStyle w:val="GowlingsCentre"/>
        <w:rPr>
          <w:bCs/>
        </w:rPr>
      </w:pPr>
      <w:r w:rsidRPr="004951BF">
        <w:rPr>
          <w:bCs/>
        </w:rPr>
        <w:t>OF</w:t>
      </w:r>
    </w:p>
    <w:p w:rsidR="004C7C5D" w:rsidRDefault="004C7C5D" w:rsidP="00723F87">
      <w:pPr>
        <w:pStyle w:val="GowlingsCentre"/>
        <w:spacing w:after="0"/>
        <w:rPr>
          <w:color w:val="000000"/>
        </w:rPr>
      </w:pPr>
      <w:r>
        <w:rPr>
          <w:color w:val="000000"/>
        </w:rPr>
        <w:t xml:space="preserve">BROADCASTING </w:t>
      </w:r>
      <w:r w:rsidR="00410DF8">
        <w:rPr>
          <w:color w:val="000000"/>
        </w:rPr>
        <w:t>ACCESSIBILITY</w:t>
      </w:r>
      <w:r>
        <w:rPr>
          <w:color w:val="000000"/>
        </w:rPr>
        <w:t xml:space="preserve"> FUND (B</w:t>
      </w:r>
      <w:r w:rsidR="00410DF8">
        <w:rPr>
          <w:color w:val="000000"/>
        </w:rPr>
        <w:t>A</w:t>
      </w:r>
      <w:r>
        <w:rPr>
          <w:color w:val="000000"/>
        </w:rPr>
        <w:t xml:space="preserve">F), INC. / </w:t>
      </w:r>
    </w:p>
    <w:p w:rsidR="003D6356" w:rsidRPr="00B97C4E" w:rsidRDefault="00410DF8" w:rsidP="00B97C4E">
      <w:pPr>
        <w:pStyle w:val="GowlingsCentre"/>
      </w:pPr>
      <w:r w:rsidRPr="003764C2">
        <w:rPr>
          <w:color w:val="000000"/>
          <w:lang w:val="fr-CA"/>
        </w:rPr>
        <w:t>LE FONDS POUR L’ACCESSIBILITÉ DE LA RADIODIFFUSION (FAR), INC</w:t>
      </w:r>
      <w:proofErr w:type="gramStart"/>
      <w:r w:rsidRPr="003764C2">
        <w:rPr>
          <w:color w:val="000000"/>
          <w:lang w:val="fr-CA"/>
        </w:rPr>
        <w:t>.</w:t>
      </w:r>
      <w:proofErr w:type="gramEnd"/>
      <w:r w:rsidR="009D7181" w:rsidRPr="003764C2">
        <w:rPr>
          <w:b/>
          <w:bCs/>
          <w:color w:val="FF0000"/>
          <w:lang w:val="fr-CA"/>
        </w:rPr>
        <w:br/>
      </w:r>
      <w:r w:rsidR="009D7181">
        <w:t>(the “Corporation”)</w:t>
      </w:r>
    </w:p>
    <w:p w:rsidR="003D6356" w:rsidRPr="003D6356" w:rsidRDefault="003764C2" w:rsidP="003D635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RESOLUTION CONFIRMING </w:t>
      </w:r>
      <w:r w:rsidR="003F70B3">
        <w:rPr>
          <w:b/>
          <w:bCs/>
          <w:u w:val="single"/>
        </w:rPr>
        <w:t>ELIGIBILITY CR</w:t>
      </w:r>
      <w:r w:rsidR="006F1E94">
        <w:rPr>
          <w:b/>
          <w:bCs/>
          <w:u w:val="single"/>
        </w:rPr>
        <w:t xml:space="preserve">ITERIA FOR </w:t>
      </w:r>
      <w:r w:rsidR="003F70B3">
        <w:rPr>
          <w:b/>
          <w:bCs/>
          <w:u w:val="single"/>
        </w:rPr>
        <w:t>STAKEHOLDERS</w:t>
      </w:r>
    </w:p>
    <w:p w:rsidR="003D6356" w:rsidRDefault="003D6356" w:rsidP="003D6356">
      <w:pPr>
        <w:rPr>
          <w:bCs/>
        </w:rPr>
      </w:pPr>
    </w:p>
    <w:p w:rsidR="006F1E94" w:rsidRDefault="003F70B3" w:rsidP="005C6960">
      <w:pPr>
        <w:ind w:firstLine="720"/>
        <w:jc w:val="both"/>
        <w:rPr>
          <w:bCs/>
        </w:rPr>
      </w:pPr>
      <w:r>
        <w:rPr>
          <w:b/>
          <w:bCs/>
        </w:rPr>
        <w:t>WHEREAS</w:t>
      </w:r>
      <w:r>
        <w:rPr>
          <w:bCs/>
        </w:rPr>
        <w:t>, pursuant to Section</w:t>
      </w:r>
      <w:r w:rsidR="006F1E94">
        <w:rPr>
          <w:bCs/>
        </w:rPr>
        <w:t xml:space="preserve"> 30 of By-law No. 1 of the Corporation, the Corporation is to be managed by a B</w:t>
      </w:r>
      <w:r w:rsidR="00E170D1">
        <w:rPr>
          <w:bCs/>
        </w:rPr>
        <w:t>oard</w:t>
      </w:r>
      <w:r w:rsidR="006F1E94">
        <w:rPr>
          <w:bCs/>
        </w:rPr>
        <w:t xml:space="preserve"> of nine (9) Directors, consisting of four (4) Accessibility Group Directors, </w:t>
      </w:r>
      <w:r w:rsidR="00797661">
        <w:rPr>
          <w:bCs/>
        </w:rPr>
        <w:t xml:space="preserve">two (2) Independent Accessibility Directors, and </w:t>
      </w:r>
      <w:r w:rsidR="006F1E94">
        <w:rPr>
          <w:bCs/>
        </w:rPr>
        <w:t>three (3) Broadcastin</w:t>
      </w:r>
      <w:r w:rsidR="00797661">
        <w:rPr>
          <w:bCs/>
        </w:rPr>
        <w:t>g Industry Directors</w:t>
      </w:r>
      <w:r w:rsidR="006F1E94">
        <w:rPr>
          <w:bCs/>
        </w:rPr>
        <w:t>;</w:t>
      </w:r>
    </w:p>
    <w:p w:rsidR="000A2EC3" w:rsidRDefault="000A2EC3" w:rsidP="005C6960">
      <w:pPr>
        <w:ind w:firstLine="720"/>
        <w:jc w:val="both"/>
        <w:rPr>
          <w:b/>
          <w:bCs/>
        </w:rPr>
      </w:pPr>
    </w:p>
    <w:p w:rsidR="003B3F44" w:rsidRDefault="000A2EC3" w:rsidP="005C6960">
      <w:pPr>
        <w:ind w:firstLine="720"/>
        <w:jc w:val="both"/>
        <w:rPr>
          <w:bCs/>
        </w:rPr>
      </w:pPr>
      <w:r>
        <w:rPr>
          <w:b/>
          <w:bCs/>
        </w:rPr>
        <w:t>WHEREAS</w:t>
      </w:r>
      <w:r>
        <w:rPr>
          <w:bCs/>
        </w:rPr>
        <w:t xml:space="preserve">, pursuant to Section 30(a) of By-law No. 1, one (1) </w:t>
      </w:r>
      <w:r w:rsidR="005C6960">
        <w:rPr>
          <w:bCs/>
        </w:rPr>
        <w:t xml:space="preserve">of the four (4) </w:t>
      </w:r>
      <w:r>
        <w:rPr>
          <w:bCs/>
        </w:rPr>
        <w:t>Accessibility Group Director</w:t>
      </w:r>
      <w:r w:rsidR="005C6960">
        <w:rPr>
          <w:bCs/>
        </w:rPr>
        <w:t>s</w:t>
      </w:r>
      <w:r>
        <w:rPr>
          <w:bCs/>
        </w:rPr>
        <w:t xml:space="preserve"> shall be</w:t>
      </w:r>
      <w:r w:rsidR="005C6960">
        <w:rPr>
          <w:bCs/>
        </w:rPr>
        <w:t xml:space="preserve"> nominated by each of the four (4) Categories of Accessibility Group Stakeholders, respectively, and </w:t>
      </w:r>
      <w:r w:rsidR="000E53C3">
        <w:rPr>
          <w:bCs/>
        </w:rPr>
        <w:t>elected</w:t>
      </w:r>
      <w:r w:rsidR="0081489B">
        <w:rPr>
          <w:bCs/>
        </w:rPr>
        <w:t xml:space="preserve"> by </w:t>
      </w:r>
      <w:r w:rsidR="005C6960">
        <w:rPr>
          <w:bCs/>
        </w:rPr>
        <w:t xml:space="preserve">the </w:t>
      </w:r>
      <w:r w:rsidR="0081489B">
        <w:rPr>
          <w:bCs/>
        </w:rPr>
        <w:t>Members</w:t>
      </w:r>
      <w:r w:rsidR="003B3F44">
        <w:rPr>
          <w:bCs/>
        </w:rPr>
        <w:t>:</w:t>
      </w:r>
    </w:p>
    <w:p w:rsidR="003B3F44" w:rsidRDefault="003B3F44" w:rsidP="005C6960">
      <w:pPr>
        <w:numPr>
          <w:ilvl w:val="0"/>
          <w:numId w:val="10"/>
        </w:numPr>
        <w:ind w:hanging="450"/>
        <w:jc w:val="both"/>
        <w:rPr>
          <w:bCs/>
        </w:rPr>
      </w:pPr>
      <w:r>
        <w:rPr>
          <w:bCs/>
        </w:rPr>
        <w:t>Accessibility Group Stakeholders</w:t>
      </w:r>
      <w:r w:rsidR="000A2EC3">
        <w:rPr>
          <w:bCs/>
        </w:rPr>
        <w:t xml:space="preserve"> comprised of sight accessibility groups</w:t>
      </w:r>
      <w:r>
        <w:rPr>
          <w:bCs/>
        </w:rPr>
        <w:t>;</w:t>
      </w:r>
    </w:p>
    <w:p w:rsidR="003B3F44" w:rsidRDefault="000A2EC3" w:rsidP="005C6960">
      <w:pPr>
        <w:numPr>
          <w:ilvl w:val="0"/>
          <w:numId w:val="10"/>
        </w:numPr>
        <w:ind w:hanging="450"/>
        <w:jc w:val="both"/>
        <w:rPr>
          <w:bCs/>
        </w:rPr>
      </w:pPr>
      <w:r>
        <w:rPr>
          <w:bCs/>
        </w:rPr>
        <w:t>Accessibility Grou</w:t>
      </w:r>
      <w:r w:rsidR="000E53C3">
        <w:rPr>
          <w:bCs/>
        </w:rPr>
        <w:t xml:space="preserve">p Stakeholders comprised of </w:t>
      </w:r>
      <w:r>
        <w:rPr>
          <w:bCs/>
        </w:rPr>
        <w:t>hearing accessibility groups</w:t>
      </w:r>
      <w:r w:rsidR="003B3F44">
        <w:rPr>
          <w:bCs/>
        </w:rPr>
        <w:t>;</w:t>
      </w:r>
    </w:p>
    <w:p w:rsidR="003B3F44" w:rsidRDefault="000E53C3" w:rsidP="005C6960">
      <w:pPr>
        <w:numPr>
          <w:ilvl w:val="0"/>
          <w:numId w:val="10"/>
        </w:numPr>
        <w:ind w:hanging="450"/>
        <w:jc w:val="both"/>
        <w:rPr>
          <w:bCs/>
        </w:rPr>
      </w:pPr>
      <w:r>
        <w:rPr>
          <w:bCs/>
        </w:rPr>
        <w:t>Accessibility Group Stakeholders comprised of mobility accessibility groups</w:t>
      </w:r>
      <w:r w:rsidR="003B3F44">
        <w:rPr>
          <w:bCs/>
        </w:rPr>
        <w:t>;</w:t>
      </w:r>
      <w:r w:rsidR="005C6960">
        <w:rPr>
          <w:bCs/>
        </w:rPr>
        <w:t xml:space="preserve"> and</w:t>
      </w:r>
    </w:p>
    <w:p w:rsidR="000A2EC3" w:rsidRDefault="003B3F44" w:rsidP="005C6960">
      <w:pPr>
        <w:numPr>
          <w:ilvl w:val="0"/>
          <w:numId w:val="10"/>
        </w:numPr>
        <w:ind w:hanging="450"/>
        <w:jc w:val="both"/>
        <w:rPr>
          <w:bCs/>
        </w:rPr>
      </w:pPr>
      <w:r>
        <w:rPr>
          <w:bCs/>
        </w:rPr>
        <w:t>Accessibility Group Stakeholders comprised of cognitive accessibility groups;</w:t>
      </w:r>
    </w:p>
    <w:p w:rsidR="000E53C3" w:rsidRDefault="000E53C3" w:rsidP="005C6960">
      <w:pPr>
        <w:ind w:firstLine="720"/>
        <w:jc w:val="both"/>
        <w:rPr>
          <w:bCs/>
        </w:rPr>
      </w:pPr>
    </w:p>
    <w:p w:rsidR="003B3F44" w:rsidRDefault="003B3F44" w:rsidP="005C6960">
      <w:pPr>
        <w:ind w:firstLine="720"/>
        <w:jc w:val="both"/>
        <w:rPr>
          <w:bCs/>
        </w:rPr>
      </w:pPr>
      <w:r>
        <w:rPr>
          <w:b/>
          <w:bCs/>
        </w:rPr>
        <w:t>WHEREAS</w:t>
      </w:r>
      <w:r>
        <w:rPr>
          <w:bCs/>
        </w:rPr>
        <w:t>, pursuant to Section 30(c) of By-law No. 1, the two (2) Independent Accessibility Directors shall be</w:t>
      </w:r>
      <w:r w:rsidR="005C6960">
        <w:rPr>
          <w:bCs/>
        </w:rPr>
        <w:t xml:space="preserve"> nominated by</w:t>
      </w:r>
      <w:r>
        <w:rPr>
          <w:bCs/>
        </w:rPr>
        <w:t xml:space="preserve"> </w:t>
      </w:r>
      <w:r w:rsidR="005C6960">
        <w:rPr>
          <w:bCs/>
        </w:rPr>
        <w:t xml:space="preserve">the Accessibility Group Stakeholders, collectively, and </w:t>
      </w:r>
      <w:r>
        <w:rPr>
          <w:bCs/>
        </w:rPr>
        <w:t>elected by</w:t>
      </w:r>
      <w:r w:rsidR="005C6960">
        <w:rPr>
          <w:bCs/>
        </w:rPr>
        <w:t xml:space="preserve"> the</w:t>
      </w:r>
      <w:r>
        <w:rPr>
          <w:bCs/>
        </w:rPr>
        <w:t xml:space="preserve"> Members;</w:t>
      </w:r>
    </w:p>
    <w:p w:rsidR="003B3F44" w:rsidRPr="003B3F44" w:rsidRDefault="003B3F44" w:rsidP="005C6960">
      <w:pPr>
        <w:ind w:firstLine="720"/>
        <w:jc w:val="both"/>
        <w:rPr>
          <w:bCs/>
        </w:rPr>
      </w:pPr>
    </w:p>
    <w:p w:rsidR="000E53C3" w:rsidRPr="000E53C3" w:rsidRDefault="000E53C3" w:rsidP="005C6960">
      <w:pPr>
        <w:ind w:firstLine="720"/>
        <w:jc w:val="both"/>
        <w:rPr>
          <w:bCs/>
        </w:rPr>
      </w:pPr>
      <w:r>
        <w:rPr>
          <w:b/>
          <w:bCs/>
        </w:rPr>
        <w:t>WHEREAS</w:t>
      </w:r>
      <w:r>
        <w:rPr>
          <w:bCs/>
        </w:rPr>
        <w:t xml:space="preserve">, pursuant to Section 30(b) of By-law No. </w:t>
      </w:r>
      <w:r w:rsidR="0081489B">
        <w:rPr>
          <w:bCs/>
        </w:rPr>
        <w:t>1, two</w:t>
      </w:r>
      <w:r>
        <w:rPr>
          <w:bCs/>
        </w:rPr>
        <w:t xml:space="preserve"> (</w:t>
      </w:r>
      <w:r w:rsidR="0081489B">
        <w:rPr>
          <w:bCs/>
        </w:rPr>
        <w:t>2</w:t>
      </w:r>
      <w:r w:rsidR="00B97C4E">
        <w:rPr>
          <w:bCs/>
        </w:rPr>
        <w:t>) Broadcasting Industry</w:t>
      </w:r>
      <w:r>
        <w:rPr>
          <w:bCs/>
        </w:rPr>
        <w:t xml:space="preserve"> Directors are to be </w:t>
      </w:r>
      <w:r w:rsidR="005C6960">
        <w:rPr>
          <w:bCs/>
        </w:rPr>
        <w:t xml:space="preserve">nominated by the Category of Broadcasting Industry Stakeholders comprised of broadcasting industry businesses, and </w:t>
      </w:r>
      <w:r>
        <w:rPr>
          <w:bCs/>
        </w:rPr>
        <w:t>elected</w:t>
      </w:r>
      <w:r w:rsidR="0081489B">
        <w:rPr>
          <w:bCs/>
        </w:rPr>
        <w:t xml:space="preserve"> by </w:t>
      </w:r>
      <w:r w:rsidR="005C6960">
        <w:rPr>
          <w:bCs/>
        </w:rPr>
        <w:t xml:space="preserve">the </w:t>
      </w:r>
      <w:r w:rsidR="0081489B">
        <w:rPr>
          <w:bCs/>
        </w:rPr>
        <w:t>Members, and one</w:t>
      </w:r>
      <w:r w:rsidR="00B97C4E">
        <w:rPr>
          <w:bCs/>
        </w:rPr>
        <w:t xml:space="preserve"> (1) Broadcasting Industry</w:t>
      </w:r>
      <w:r w:rsidR="0081489B">
        <w:rPr>
          <w:bCs/>
        </w:rPr>
        <w:t xml:space="preserve"> Director is to be</w:t>
      </w:r>
      <w:r w:rsidR="005C6960">
        <w:rPr>
          <w:bCs/>
        </w:rPr>
        <w:t xml:space="preserve"> nominated by</w:t>
      </w:r>
      <w:r w:rsidR="0081489B">
        <w:rPr>
          <w:bCs/>
        </w:rPr>
        <w:t xml:space="preserve"> </w:t>
      </w:r>
      <w:r w:rsidR="005C6960">
        <w:rPr>
          <w:bCs/>
        </w:rPr>
        <w:t xml:space="preserve">the Category of Broadcasting Industry Stakeholders comprised of broadcasting distribution undertakings (BDUs), and </w:t>
      </w:r>
      <w:r w:rsidR="0081489B">
        <w:rPr>
          <w:bCs/>
        </w:rPr>
        <w:t xml:space="preserve">elected by </w:t>
      </w:r>
      <w:r w:rsidR="005C6960">
        <w:rPr>
          <w:bCs/>
        </w:rPr>
        <w:t xml:space="preserve">the </w:t>
      </w:r>
      <w:r w:rsidR="0081489B">
        <w:rPr>
          <w:bCs/>
        </w:rPr>
        <w:t>Members;</w:t>
      </w:r>
    </w:p>
    <w:p w:rsidR="006F1E94" w:rsidRDefault="006F1E94" w:rsidP="005C6960">
      <w:pPr>
        <w:ind w:firstLine="720"/>
        <w:jc w:val="both"/>
        <w:rPr>
          <w:bCs/>
        </w:rPr>
      </w:pPr>
    </w:p>
    <w:p w:rsidR="003764C2" w:rsidRDefault="003764C2" w:rsidP="005C6960">
      <w:pPr>
        <w:ind w:firstLine="720"/>
        <w:jc w:val="both"/>
        <w:rPr>
          <w:bCs/>
        </w:rPr>
      </w:pPr>
      <w:r>
        <w:rPr>
          <w:b/>
          <w:bCs/>
        </w:rPr>
        <w:t>WHEREAS</w:t>
      </w:r>
      <w:r>
        <w:rPr>
          <w:bCs/>
        </w:rPr>
        <w:t xml:space="preserve">, pursuant to </w:t>
      </w:r>
      <w:r w:rsidR="003F70B3">
        <w:rPr>
          <w:bCs/>
        </w:rPr>
        <w:t>Section 76 of By-law No. 1, the Provisional Board may confirm an accessibility group</w:t>
      </w:r>
      <w:r w:rsidR="0081489B">
        <w:rPr>
          <w:bCs/>
        </w:rPr>
        <w:t xml:space="preserve">, a broadcaster, or a </w:t>
      </w:r>
      <w:r w:rsidR="00E170D1">
        <w:rPr>
          <w:bCs/>
        </w:rPr>
        <w:t xml:space="preserve">BDU </w:t>
      </w:r>
      <w:r w:rsidR="003F70B3">
        <w:rPr>
          <w:bCs/>
        </w:rPr>
        <w:t xml:space="preserve">to be a Stakeholder of the Corporation </w:t>
      </w:r>
      <w:r w:rsidR="005C6960">
        <w:rPr>
          <w:bCs/>
        </w:rPr>
        <w:t xml:space="preserve">following </w:t>
      </w:r>
      <w:r w:rsidR="003F70B3">
        <w:rPr>
          <w:bCs/>
        </w:rPr>
        <w:t>the execution and delivery of a Stakeholder Agreement</w:t>
      </w:r>
      <w:r w:rsidR="005C6960">
        <w:rPr>
          <w:bCs/>
        </w:rPr>
        <w:t xml:space="preserve"> by the Stakeholder and the Corporation</w:t>
      </w:r>
      <w:r w:rsidR="00B97C4E">
        <w:rPr>
          <w:bCs/>
        </w:rPr>
        <w:t>;</w:t>
      </w:r>
    </w:p>
    <w:p w:rsidR="003B3F44" w:rsidRDefault="003B3F44" w:rsidP="005C6960">
      <w:pPr>
        <w:ind w:firstLine="720"/>
        <w:jc w:val="both"/>
        <w:rPr>
          <w:b/>
          <w:bCs/>
        </w:rPr>
      </w:pPr>
    </w:p>
    <w:p w:rsidR="003B3F44" w:rsidRDefault="003B3F44" w:rsidP="005C6960">
      <w:pPr>
        <w:ind w:firstLine="720"/>
        <w:jc w:val="both"/>
        <w:rPr>
          <w:bCs/>
        </w:rPr>
      </w:pPr>
      <w:r>
        <w:rPr>
          <w:b/>
          <w:bCs/>
        </w:rPr>
        <w:t>WHEREAS</w:t>
      </w:r>
      <w:r>
        <w:rPr>
          <w:bCs/>
        </w:rPr>
        <w:t>, the Provisional Board seeks to extend an open invitation to accessibility groups, broadcasters and BDUs to become Stakeholders of the Corporation;</w:t>
      </w:r>
    </w:p>
    <w:p w:rsidR="003F70B3" w:rsidRDefault="003F70B3" w:rsidP="005C6960">
      <w:pPr>
        <w:ind w:firstLine="720"/>
        <w:jc w:val="both"/>
        <w:rPr>
          <w:bCs/>
        </w:rPr>
      </w:pPr>
    </w:p>
    <w:p w:rsidR="003B3F44" w:rsidRDefault="003B3F44" w:rsidP="005C6960">
      <w:pPr>
        <w:ind w:firstLine="720"/>
        <w:jc w:val="both"/>
        <w:rPr>
          <w:bCs/>
        </w:rPr>
      </w:pPr>
      <w:r w:rsidRPr="00B7009B">
        <w:rPr>
          <w:b/>
          <w:bCs/>
        </w:rPr>
        <w:t>WHEREAS</w:t>
      </w:r>
      <w:r>
        <w:rPr>
          <w:bCs/>
        </w:rPr>
        <w:t xml:space="preserve">, the Provisional Board seeks to extend such invitations </w:t>
      </w:r>
      <w:r w:rsidRPr="00B7009B">
        <w:rPr>
          <w:bCs/>
        </w:rPr>
        <w:t>in</w:t>
      </w:r>
      <w:r>
        <w:rPr>
          <w:bCs/>
        </w:rPr>
        <w:t xml:space="preserve"> an inclusive and transparent manner, while ensuring that</w:t>
      </w:r>
      <w:r w:rsidR="00C76C2F">
        <w:rPr>
          <w:bCs/>
        </w:rPr>
        <w:t>:</w:t>
      </w:r>
      <w:r>
        <w:rPr>
          <w:bCs/>
        </w:rPr>
        <w:t xml:space="preserve"> </w:t>
      </w:r>
      <w:r w:rsidR="00C76C2F">
        <w:rPr>
          <w:bCs/>
        </w:rPr>
        <w:t xml:space="preserve">(1) </w:t>
      </w:r>
      <w:r>
        <w:rPr>
          <w:bCs/>
        </w:rPr>
        <w:t>the Accessibility Group Stakeholders are comprised of established groups that directly represent a broad-based membership of disabled users</w:t>
      </w:r>
      <w:r w:rsidR="00C76C2F">
        <w:rPr>
          <w:bCs/>
        </w:rPr>
        <w:t>,</w:t>
      </w:r>
      <w:r>
        <w:rPr>
          <w:bCs/>
        </w:rPr>
        <w:t xml:space="preserve"> as set out in Section 1(b) of By-law No. 1, and </w:t>
      </w:r>
      <w:r w:rsidR="00C76C2F">
        <w:rPr>
          <w:bCs/>
        </w:rPr>
        <w:t xml:space="preserve">(2) the </w:t>
      </w:r>
      <w:r>
        <w:rPr>
          <w:bCs/>
        </w:rPr>
        <w:t>Broadcasting Industry Stakeholders are comprised of broadcasting industry businesses and BDUs that are subject to CRTC jurisdiction as set out in Section 1(k) of By-law No. 1;</w:t>
      </w:r>
    </w:p>
    <w:p w:rsidR="00C76C2F" w:rsidRDefault="00C76C2F" w:rsidP="005C6960">
      <w:pPr>
        <w:ind w:firstLine="720"/>
        <w:jc w:val="both"/>
        <w:rPr>
          <w:bCs/>
        </w:rPr>
      </w:pPr>
    </w:p>
    <w:p w:rsidR="00E170D1" w:rsidRDefault="0081489B" w:rsidP="005C6960">
      <w:pPr>
        <w:ind w:firstLine="720"/>
        <w:jc w:val="both"/>
        <w:rPr>
          <w:bCs/>
        </w:rPr>
      </w:pPr>
      <w:r>
        <w:rPr>
          <w:b/>
          <w:bCs/>
        </w:rPr>
        <w:t>WHEREAS</w:t>
      </w:r>
      <w:r>
        <w:rPr>
          <w:bCs/>
        </w:rPr>
        <w:t>, pursuant to Section 76 of By-law No. 1, an accessibility group may belong to only one (1) Category of Acce</w:t>
      </w:r>
      <w:r w:rsidR="003B3F44">
        <w:rPr>
          <w:bCs/>
        </w:rPr>
        <w:t>ssibility Group Stakeholder, and pursuant to Section 1(k) of By-law No. 1</w:t>
      </w:r>
      <w:r w:rsidR="00797661">
        <w:rPr>
          <w:bCs/>
        </w:rPr>
        <w:t>, a</w:t>
      </w:r>
      <w:r w:rsidR="003B3F44">
        <w:rPr>
          <w:bCs/>
        </w:rPr>
        <w:t xml:space="preserve"> broadcasting industry business must identify </w:t>
      </w:r>
      <w:r w:rsidR="00C76C2F">
        <w:rPr>
          <w:bCs/>
        </w:rPr>
        <w:t xml:space="preserve">itself </w:t>
      </w:r>
      <w:r w:rsidR="003B3F44">
        <w:rPr>
          <w:bCs/>
        </w:rPr>
        <w:t>as such or as a BDU;</w:t>
      </w:r>
    </w:p>
    <w:p w:rsidR="00EC24EC" w:rsidRDefault="00EC24EC" w:rsidP="005C6960">
      <w:pPr>
        <w:ind w:firstLine="720"/>
        <w:jc w:val="both"/>
        <w:rPr>
          <w:bCs/>
        </w:rPr>
      </w:pPr>
    </w:p>
    <w:p w:rsidR="00EC24EC" w:rsidRPr="00E170D1" w:rsidRDefault="00EC24EC" w:rsidP="005C6960">
      <w:pPr>
        <w:ind w:firstLine="720"/>
        <w:jc w:val="both"/>
        <w:rPr>
          <w:bCs/>
        </w:rPr>
      </w:pPr>
      <w:r w:rsidRPr="00C76C2F">
        <w:rPr>
          <w:b/>
          <w:bCs/>
        </w:rPr>
        <w:t>WHEREAS</w:t>
      </w:r>
      <w:r w:rsidR="00C76C2F" w:rsidRPr="00C76C2F">
        <w:rPr>
          <w:bCs/>
        </w:rPr>
        <w:t>,</w:t>
      </w:r>
      <w:r>
        <w:rPr>
          <w:bCs/>
        </w:rPr>
        <w:t xml:space="preserve"> the Provisional Board wishes to enumerate the criteria by which</w:t>
      </w:r>
      <w:r w:rsidRPr="00EC24EC">
        <w:t xml:space="preserve"> </w:t>
      </w:r>
      <w:r>
        <w:t>the eligibility of accessibility groups, broadcasters and BDUs will be assessed under Section</w:t>
      </w:r>
      <w:r w:rsidR="00221508">
        <w:t>s 1(b) and 1(k), respectively</w:t>
      </w:r>
      <w:r w:rsidR="006326FE">
        <w:t>, of By-law No. 1</w:t>
      </w:r>
      <w:r>
        <w:t>;</w:t>
      </w:r>
    </w:p>
    <w:p w:rsidR="00D62550" w:rsidRDefault="00D62550" w:rsidP="005C6960">
      <w:pPr>
        <w:ind w:firstLine="720"/>
        <w:jc w:val="both"/>
        <w:rPr>
          <w:bCs/>
        </w:rPr>
      </w:pPr>
    </w:p>
    <w:p w:rsidR="00D62550" w:rsidRDefault="003D6356" w:rsidP="005C6960">
      <w:pPr>
        <w:ind w:firstLine="720"/>
        <w:jc w:val="both"/>
      </w:pPr>
      <w:r>
        <w:rPr>
          <w:b/>
          <w:bCs/>
        </w:rPr>
        <w:t>BE IT RESOLVED</w:t>
      </w:r>
      <w:r>
        <w:t xml:space="preserve"> t</w:t>
      </w:r>
      <w:r w:rsidR="00736F88">
        <w:t>hat</w:t>
      </w:r>
      <w:r>
        <w:t xml:space="preserve"> </w:t>
      </w:r>
      <w:r w:rsidR="00D62550">
        <w:t xml:space="preserve">the Provisional Board </w:t>
      </w:r>
      <w:r w:rsidR="00EC24EC">
        <w:t>adopts</w:t>
      </w:r>
      <w:r w:rsidR="00D62550">
        <w:t xml:space="preserve"> the criteria below to </w:t>
      </w:r>
      <w:r w:rsidR="00E71D8B">
        <w:t>asses</w:t>
      </w:r>
      <w:r w:rsidR="004511C1">
        <w:t>s</w:t>
      </w:r>
      <w:r w:rsidR="00D62550">
        <w:t xml:space="preserve"> the eligibility of accessibil</w:t>
      </w:r>
      <w:r w:rsidR="00736F88">
        <w:t>ity groups</w:t>
      </w:r>
      <w:r w:rsidR="00B7009B">
        <w:t xml:space="preserve">, broadcasters and </w:t>
      </w:r>
      <w:r w:rsidR="00B97C4E">
        <w:t xml:space="preserve">BDUs </w:t>
      </w:r>
      <w:r w:rsidR="00736F88" w:rsidRPr="00221508">
        <w:t>to be confirmed as</w:t>
      </w:r>
      <w:r w:rsidR="00D62550" w:rsidRPr="00221508">
        <w:t xml:space="preserve"> </w:t>
      </w:r>
      <w:r w:rsidR="00B7009B" w:rsidRPr="00221508">
        <w:t>S</w:t>
      </w:r>
      <w:r w:rsidR="00D62550" w:rsidRPr="00221508">
        <w:t>takeholder</w:t>
      </w:r>
      <w:r w:rsidR="00736F88" w:rsidRPr="00221508">
        <w:t>s</w:t>
      </w:r>
      <w:r w:rsidR="00D62550" w:rsidRPr="00221508">
        <w:t>:</w:t>
      </w:r>
    </w:p>
    <w:p w:rsidR="00D62550" w:rsidRDefault="00D62550" w:rsidP="005C6960">
      <w:pPr>
        <w:ind w:firstLine="720"/>
        <w:jc w:val="both"/>
      </w:pPr>
    </w:p>
    <w:p w:rsidR="00D62550" w:rsidRDefault="00C76C2F" w:rsidP="005C6960">
      <w:pPr>
        <w:ind w:left="720" w:hanging="720"/>
        <w:jc w:val="both"/>
      </w:pPr>
      <w:r>
        <w:t>A.</w:t>
      </w:r>
      <w:r w:rsidR="00736F88">
        <w:tab/>
        <w:t>Accessibility Group Stakeholders shall consist of organizations that</w:t>
      </w:r>
      <w:r w:rsidR="003B3F44">
        <w:t xml:space="preserve"> satisfy all three (3) of the following criteria</w:t>
      </w:r>
      <w:r w:rsidR="00736F88">
        <w:t>:</w:t>
      </w:r>
    </w:p>
    <w:p w:rsidR="00C76C2F" w:rsidRDefault="00C76C2F" w:rsidP="005C6960">
      <w:pPr>
        <w:ind w:left="720" w:hanging="720"/>
        <w:jc w:val="both"/>
      </w:pPr>
    </w:p>
    <w:p w:rsidR="00736F88" w:rsidRDefault="003B3F44" w:rsidP="005C6960">
      <w:pPr>
        <w:numPr>
          <w:ilvl w:val="0"/>
          <w:numId w:val="8"/>
        </w:numPr>
        <w:ind w:firstLine="90"/>
        <w:jc w:val="both"/>
      </w:pPr>
      <w:r>
        <w:t>An organization must</w:t>
      </w:r>
      <w:r w:rsidR="00736F88">
        <w:t>:</w:t>
      </w:r>
    </w:p>
    <w:p w:rsidR="00736F88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r>
        <w:t xml:space="preserve">be </w:t>
      </w:r>
      <w:r w:rsidR="00C26FF0">
        <w:t>i</w:t>
      </w:r>
      <w:r w:rsidR="00736F88">
        <w:t>ncorporated under provincial or federal law; or</w:t>
      </w:r>
    </w:p>
    <w:p w:rsidR="00736F88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r>
        <w:t xml:space="preserve">have </w:t>
      </w:r>
      <w:r w:rsidR="003B3F44">
        <w:t>been</w:t>
      </w:r>
      <w:r w:rsidR="00736F88">
        <w:t xml:space="preserve"> in existence for a minimum of one year as of </w:t>
      </w:r>
      <w:r w:rsidR="00C26FF0">
        <w:t>7 August 2012</w:t>
      </w:r>
      <w:r>
        <w:t xml:space="preserve">, </w:t>
      </w:r>
      <w:r w:rsidR="00C26FF0">
        <w:t>and</w:t>
      </w:r>
    </w:p>
    <w:p w:rsidR="00C26FF0" w:rsidRDefault="003B3F44" w:rsidP="005C6960">
      <w:pPr>
        <w:tabs>
          <w:tab w:val="left" w:pos="1800"/>
        </w:tabs>
        <w:jc w:val="both"/>
      </w:pPr>
      <w:r>
        <w:tab/>
      </w:r>
      <w:proofErr w:type="gramStart"/>
      <w:r w:rsidR="00C76C2F">
        <w:t>h</w:t>
      </w:r>
      <w:r w:rsidR="00C26FF0">
        <w:t>ave</w:t>
      </w:r>
      <w:proofErr w:type="gramEnd"/>
      <w:r w:rsidR="00C26FF0">
        <w:t xml:space="preserve"> a membership of a minimum of twenty (20) members</w:t>
      </w:r>
      <w:r w:rsidR="004348BA">
        <w:t>;</w:t>
      </w:r>
    </w:p>
    <w:p w:rsidR="00C26FF0" w:rsidRDefault="003B3F44" w:rsidP="005C6960">
      <w:pPr>
        <w:numPr>
          <w:ilvl w:val="0"/>
          <w:numId w:val="8"/>
        </w:numPr>
        <w:ind w:left="1440" w:hanging="630"/>
        <w:jc w:val="both"/>
      </w:pPr>
      <w:r>
        <w:t>An organization must h</w:t>
      </w:r>
      <w:r w:rsidR="00C26FF0">
        <w:t>ave a mandate to further the interests of a broad-based membership of disabled users through either:</w:t>
      </w:r>
    </w:p>
    <w:p w:rsidR="00C26FF0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r>
        <w:t xml:space="preserve">the </w:t>
      </w:r>
      <w:r w:rsidR="00C26FF0">
        <w:t>provision of services;</w:t>
      </w:r>
    </w:p>
    <w:p w:rsidR="00C26FF0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r>
        <w:t>advocacy</w:t>
      </w:r>
      <w:r w:rsidR="00C26FF0">
        <w:t>; or</w:t>
      </w:r>
    </w:p>
    <w:p w:rsidR="00C26FF0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r>
        <w:t xml:space="preserve">academic </w:t>
      </w:r>
      <w:r w:rsidR="00C26FF0">
        <w:t>research</w:t>
      </w:r>
      <w:r w:rsidR="004348BA">
        <w:t>; and</w:t>
      </w:r>
    </w:p>
    <w:p w:rsidR="00B7009B" w:rsidRDefault="003B3F44" w:rsidP="005C6960">
      <w:pPr>
        <w:numPr>
          <w:ilvl w:val="0"/>
          <w:numId w:val="8"/>
        </w:numPr>
        <w:ind w:left="1440" w:hanging="630"/>
        <w:jc w:val="both"/>
      </w:pPr>
      <w:r>
        <w:t>An organization must h</w:t>
      </w:r>
      <w:r w:rsidR="00B7009B">
        <w:t xml:space="preserve">ave identified one (1) Category of Accessibility </w:t>
      </w:r>
      <w:r>
        <w:t>Group Stakeholders to which it</w:t>
      </w:r>
      <w:r w:rsidR="00B7009B">
        <w:t xml:space="preserve"> wish</w:t>
      </w:r>
      <w:r>
        <w:t>es</w:t>
      </w:r>
      <w:r w:rsidR="00B7009B">
        <w:t xml:space="preserve"> to belong, whether:</w:t>
      </w:r>
    </w:p>
    <w:p w:rsidR="00B7009B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r>
        <w:t>sight A</w:t>
      </w:r>
      <w:r w:rsidR="00B7009B">
        <w:t xml:space="preserve">ccessibility </w:t>
      </w:r>
      <w:r>
        <w:t>G</w:t>
      </w:r>
      <w:r w:rsidR="00B7009B">
        <w:t>roup Stakeholders;</w:t>
      </w:r>
    </w:p>
    <w:p w:rsidR="00B7009B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r>
        <w:t>h</w:t>
      </w:r>
      <w:r w:rsidR="00B7009B">
        <w:t xml:space="preserve">earing </w:t>
      </w:r>
      <w:r>
        <w:t>A</w:t>
      </w:r>
      <w:r w:rsidR="00B7009B">
        <w:t xml:space="preserve">ccessibility </w:t>
      </w:r>
      <w:r>
        <w:t>G</w:t>
      </w:r>
      <w:r w:rsidR="00B7009B">
        <w:t>roup Stakeholders;</w:t>
      </w:r>
    </w:p>
    <w:p w:rsidR="00B7009B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r>
        <w:t>m</w:t>
      </w:r>
      <w:r w:rsidR="00B7009B">
        <w:t xml:space="preserve">obility </w:t>
      </w:r>
      <w:r>
        <w:t>A</w:t>
      </w:r>
      <w:r w:rsidR="00B7009B">
        <w:t xml:space="preserve">ccessibility </w:t>
      </w:r>
      <w:r>
        <w:t>G</w:t>
      </w:r>
      <w:r w:rsidR="00B7009B">
        <w:t>roup Stakeholders;</w:t>
      </w:r>
      <w:r w:rsidR="004348BA">
        <w:t xml:space="preserve"> or</w:t>
      </w:r>
    </w:p>
    <w:p w:rsidR="00B7009B" w:rsidRDefault="00C76C2F" w:rsidP="005C6960">
      <w:pPr>
        <w:numPr>
          <w:ilvl w:val="1"/>
          <w:numId w:val="8"/>
        </w:numPr>
        <w:tabs>
          <w:tab w:val="left" w:pos="1800"/>
        </w:tabs>
        <w:ind w:firstLine="0"/>
        <w:jc w:val="both"/>
      </w:pPr>
      <w:proofErr w:type="gramStart"/>
      <w:r>
        <w:t>c</w:t>
      </w:r>
      <w:r w:rsidR="00B7009B">
        <w:t>ognitive</w:t>
      </w:r>
      <w:proofErr w:type="gramEnd"/>
      <w:r w:rsidR="00B7009B">
        <w:t xml:space="preserve"> </w:t>
      </w:r>
      <w:r>
        <w:t>A</w:t>
      </w:r>
      <w:r w:rsidR="00B7009B">
        <w:t xml:space="preserve">ccessibility </w:t>
      </w:r>
      <w:r>
        <w:t>G</w:t>
      </w:r>
      <w:r w:rsidR="00B7009B">
        <w:t>roup Stakeholders.</w:t>
      </w:r>
    </w:p>
    <w:p w:rsidR="00B7009B" w:rsidRDefault="00B7009B" w:rsidP="005C6960">
      <w:pPr>
        <w:ind w:left="1440" w:hanging="720"/>
        <w:jc w:val="both"/>
      </w:pPr>
    </w:p>
    <w:p w:rsidR="00B7009B" w:rsidRDefault="00C76C2F" w:rsidP="00C76C2F">
      <w:pPr>
        <w:ind w:left="720" w:hanging="720"/>
        <w:jc w:val="both"/>
      </w:pPr>
      <w:r>
        <w:t>B.</w:t>
      </w:r>
      <w:r>
        <w:tab/>
      </w:r>
      <w:r w:rsidR="00B7009B">
        <w:t>Broadcasting Industry Stakeholders shall consist of organizations that</w:t>
      </w:r>
      <w:r w:rsidR="003B3F44">
        <w:t xml:space="preserve"> satisfy the following two (2) criteria</w:t>
      </w:r>
      <w:r w:rsidR="00B7009B">
        <w:t>:</w:t>
      </w:r>
    </w:p>
    <w:p w:rsidR="00C76C2F" w:rsidRDefault="00C76C2F" w:rsidP="00C76C2F">
      <w:pPr>
        <w:ind w:left="720" w:hanging="720"/>
        <w:jc w:val="both"/>
      </w:pPr>
    </w:p>
    <w:p w:rsidR="00B7009B" w:rsidRDefault="003B3F44" w:rsidP="005C6960">
      <w:pPr>
        <w:numPr>
          <w:ilvl w:val="0"/>
          <w:numId w:val="9"/>
        </w:numPr>
        <w:jc w:val="both"/>
      </w:pPr>
      <w:r>
        <w:t>An organization must</w:t>
      </w:r>
      <w:r w:rsidR="00A74604">
        <w:t>:</w:t>
      </w:r>
    </w:p>
    <w:p w:rsidR="00A74604" w:rsidRDefault="00C76C2F" w:rsidP="005C6960">
      <w:pPr>
        <w:numPr>
          <w:ilvl w:val="1"/>
          <w:numId w:val="9"/>
        </w:numPr>
        <w:jc w:val="both"/>
      </w:pPr>
      <w:r>
        <w:t xml:space="preserve">be </w:t>
      </w:r>
      <w:r w:rsidR="003B3F44">
        <w:t>a</w:t>
      </w:r>
      <w:r w:rsidR="00A74604">
        <w:t xml:space="preserve"> broadcasting industry business that is subject to CRTC regulation or conditions of licence; or</w:t>
      </w:r>
    </w:p>
    <w:p w:rsidR="00A74604" w:rsidRDefault="00C76C2F" w:rsidP="005C6960">
      <w:pPr>
        <w:numPr>
          <w:ilvl w:val="1"/>
          <w:numId w:val="9"/>
        </w:numPr>
        <w:jc w:val="both"/>
      </w:pPr>
      <w:r>
        <w:t xml:space="preserve">be </w:t>
      </w:r>
      <w:r w:rsidR="003B3F44">
        <w:t>a</w:t>
      </w:r>
      <w:r w:rsidR="00A74604">
        <w:t xml:space="preserve"> broadcasting distribution undertaking that is subject to CRTC regulation or conditions of licence;</w:t>
      </w:r>
      <w:r w:rsidR="004348BA">
        <w:t xml:space="preserve"> and</w:t>
      </w:r>
    </w:p>
    <w:p w:rsidR="00A74604" w:rsidRDefault="003B3F44" w:rsidP="005C6960">
      <w:pPr>
        <w:numPr>
          <w:ilvl w:val="0"/>
          <w:numId w:val="9"/>
        </w:numPr>
        <w:jc w:val="both"/>
      </w:pPr>
      <w:r>
        <w:t>An organization must h</w:t>
      </w:r>
      <w:r w:rsidR="00A74604">
        <w:t>ave identified which Category of Broadcasting In</w:t>
      </w:r>
      <w:r>
        <w:t>dustry Stakeholder to which it</w:t>
      </w:r>
      <w:r w:rsidR="00A74604">
        <w:t xml:space="preserve"> belong</w:t>
      </w:r>
      <w:r>
        <w:t>s</w:t>
      </w:r>
      <w:r w:rsidR="00A74604">
        <w:t>, whether:</w:t>
      </w:r>
    </w:p>
    <w:p w:rsidR="00A74604" w:rsidRDefault="004348BA" w:rsidP="005C6960">
      <w:pPr>
        <w:numPr>
          <w:ilvl w:val="1"/>
          <w:numId w:val="9"/>
        </w:numPr>
        <w:jc w:val="both"/>
      </w:pPr>
      <w:r>
        <w:t xml:space="preserve">broadcasting </w:t>
      </w:r>
      <w:r w:rsidR="00A74604">
        <w:t>industry business Stakeholders;</w:t>
      </w:r>
      <w:r>
        <w:t xml:space="preserve"> or</w:t>
      </w:r>
    </w:p>
    <w:p w:rsidR="00A74604" w:rsidRDefault="00E170D1" w:rsidP="005C6960">
      <w:pPr>
        <w:numPr>
          <w:ilvl w:val="1"/>
          <w:numId w:val="9"/>
        </w:numPr>
        <w:jc w:val="both"/>
      </w:pPr>
      <w:r>
        <w:t>BDU</w:t>
      </w:r>
      <w:r w:rsidR="00A74604">
        <w:t xml:space="preserve"> Stakeholders.</w:t>
      </w:r>
    </w:p>
    <w:p w:rsidR="003D6356" w:rsidRDefault="00D62550" w:rsidP="005C6960">
      <w:pPr>
        <w:ind w:firstLine="720"/>
        <w:jc w:val="both"/>
        <w:rPr>
          <w:bCs/>
        </w:rPr>
      </w:pPr>
      <w:r>
        <w:rPr>
          <w:bCs/>
        </w:rPr>
        <w:t xml:space="preserve"> </w:t>
      </w:r>
    </w:p>
    <w:p w:rsidR="003B3F44" w:rsidRDefault="00CF7406" w:rsidP="005C6960">
      <w:pPr>
        <w:pStyle w:val="BodyText"/>
        <w:spacing w:after="0"/>
        <w:jc w:val="both"/>
      </w:pPr>
      <w:r>
        <w:t>The foregoing resolution</w:t>
      </w:r>
      <w:r w:rsidR="00726CC9">
        <w:t xml:space="preserve"> </w:t>
      </w:r>
      <w:r>
        <w:t>is</w:t>
      </w:r>
      <w:r w:rsidR="00726CC9">
        <w:t xml:space="preserve"> hereby consented to by all of the</w:t>
      </w:r>
      <w:r w:rsidR="00C26FF0">
        <w:t xml:space="preserve"> first</w:t>
      </w:r>
      <w:r w:rsidR="00726CC9">
        <w:t xml:space="preserve"> </w:t>
      </w:r>
      <w:r w:rsidR="003D6356">
        <w:t>Directors</w:t>
      </w:r>
      <w:r w:rsidR="00726CC9">
        <w:t xml:space="preserve"> of the Corporation as of this </w:t>
      </w:r>
      <w:r w:rsidR="009D7181">
        <w:t xml:space="preserve"> </w:t>
      </w:r>
      <w:r w:rsidR="00030AFF">
        <w:rPr>
          <w:color w:val="000000"/>
        </w:rPr>
        <w:t xml:space="preserve">       day of                      </w:t>
      </w:r>
      <w:r w:rsidR="00BE0DA7">
        <w:rPr>
          <w:color w:val="000000"/>
        </w:rPr>
        <w:t>, 201</w:t>
      </w:r>
      <w:r w:rsidR="004C7C5D">
        <w:t>2</w:t>
      </w:r>
      <w:r w:rsidR="009D7181">
        <w:t>.</w:t>
      </w:r>
    </w:p>
    <w:p w:rsidR="003B3F44" w:rsidRDefault="003B3F44" w:rsidP="003B3F44">
      <w:pPr>
        <w:pStyle w:val="BodyText"/>
        <w:spacing w:after="0"/>
      </w:pPr>
    </w:p>
    <w:tbl>
      <w:tblPr>
        <w:tblW w:w="0" w:type="auto"/>
        <w:jc w:val="center"/>
        <w:tblLook w:val="04A0"/>
      </w:tblPr>
      <w:tblGrid>
        <w:gridCol w:w="4248"/>
        <w:gridCol w:w="450"/>
        <w:gridCol w:w="4248"/>
      </w:tblGrid>
      <w:tr w:rsidR="00180CEB" w:rsidTr="005C127A">
        <w:trPr>
          <w:jc w:val="center"/>
        </w:trPr>
        <w:tc>
          <w:tcPr>
            <w:tcW w:w="4248" w:type="dxa"/>
            <w:tcBorders>
              <w:bottom w:val="single" w:sz="4" w:space="0" w:color="000000"/>
            </w:tcBorders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50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248" w:type="dxa"/>
            <w:tcBorders>
              <w:bottom w:val="single" w:sz="4" w:space="0" w:color="000000"/>
            </w:tcBorders>
          </w:tcPr>
          <w:p w:rsidR="00180CEB" w:rsidRDefault="00180CEB" w:rsidP="005C127A">
            <w:pPr>
              <w:pStyle w:val="Gowlingspara"/>
              <w:spacing w:after="0"/>
            </w:pPr>
          </w:p>
        </w:tc>
      </w:tr>
      <w:tr w:rsidR="00180CEB" w:rsidTr="005C127A">
        <w:trPr>
          <w:jc w:val="center"/>
        </w:trPr>
        <w:tc>
          <w:tcPr>
            <w:tcW w:w="4248" w:type="dxa"/>
            <w:tcBorders>
              <w:top w:val="single" w:sz="4" w:space="0" w:color="000000"/>
            </w:tcBorders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50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248" w:type="dxa"/>
            <w:tcBorders>
              <w:top w:val="single" w:sz="4" w:space="0" w:color="000000"/>
            </w:tcBorders>
          </w:tcPr>
          <w:p w:rsidR="00180CEB" w:rsidRDefault="00180CEB" w:rsidP="005C127A">
            <w:pPr>
              <w:pStyle w:val="Gowlingspara"/>
              <w:spacing w:after="0"/>
            </w:pPr>
          </w:p>
        </w:tc>
      </w:tr>
      <w:tr w:rsidR="00180CEB" w:rsidTr="00000DBB">
        <w:trPr>
          <w:jc w:val="center"/>
        </w:trPr>
        <w:tc>
          <w:tcPr>
            <w:tcW w:w="4248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50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248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</w:tr>
      <w:tr w:rsidR="00180CEB" w:rsidTr="00F61E2D">
        <w:trPr>
          <w:jc w:val="center"/>
        </w:trPr>
        <w:tc>
          <w:tcPr>
            <w:tcW w:w="4248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50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248" w:type="dxa"/>
            <w:tcBorders>
              <w:bottom w:val="single" w:sz="4" w:space="0" w:color="000000"/>
            </w:tcBorders>
          </w:tcPr>
          <w:p w:rsidR="00180CEB" w:rsidRDefault="00180CEB" w:rsidP="005C127A">
            <w:pPr>
              <w:pStyle w:val="Gowlingspara"/>
              <w:spacing w:after="0"/>
            </w:pPr>
          </w:p>
        </w:tc>
      </w:tr>
      <w:tr w:rsidR="00180CEB" w:rsidTr="00F61E2D">
        <w:trPr>
          <w:jc w:val="center"/>
        </w:trPr>
        <w:tc>
          <w:tcPr>
            <w:tcW w:w="4248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50" w:type="dxa"/>
          </w:tcPr>
          <w:p w:rsidR="00180CEB" w:rsidRDefault="00180CEB" w:rsidP="005C127A">
            <w:pPr>
              <w:pStyle w:val="Gowlingspara"/>
              <w:spacing w:after="0"/>
            </w:pPr>
          </w:p>
        </w:tc>
        <w:tc>
          <w:tcPr>
            <w:tcW w:w="4248" w:type="dxa"/>
            <w:tcBorders>
              <w:top w:val="single" w:sz="4" w:space="0" w:color="000000"/>
            </w:tcBorders>
          </w:tcPr>
          <w:p w:rsidR="00180CEB" w:rsidRDefault="00180CEB" w:rsidP="005C127A">
            <w:pPr>
              <w:pStyle w:val="Gowlingspara"/>
              <w:spacing w:after="0"/>
            </w:pPr>
          </w:p>
        </w:tc>
      </w:tr>
    </w:tbl>
    <w:p w:rsidR="00642E42" w:rsidRDefault="00642E42" w:rsidP="003B3F44">
      <w:pPr>
        <w:spacing w:line="200" w:lineRule="exact"/>
        <w:rPr>
          <w:b/>
        </w:rPr>
      </w:pPr>
    </w:p>
    <w:sectPr w:rsidR="00642E42">
      <w:head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BC8" w:rsidRDefault="00257BC8">
      <w:r>
        <w:separator/>
      </w:r>
    </w:p>
  </w:endnote>
  <w:endnote w:type="continuationSeparator" w:id="0">
    <w:p w:rsidR="00257BC8" w:rsidRDefault="00257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E27" w:rsidRPr="00726CC9" w:rsidRDefault="00844E27" w:rsidP="00726CC9">
    <w:pPr>
      <w:pStyle w:val="Footer"/>
    </w:pPr>
    <w:r w:rsidRPr="00726CC9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BC8" w:rsidRDefault="00257BC8">
      <w:r>
        <w:separator/>
      </w:r>
    </w:p>
  </w:footnote>
  <w:footnote w:type="continuationSeparator" w:id="0">
    <w:p w:rsidR="00257BC8" w:rsidRDefault="00257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FF" w:rsidRDefault="00030AFF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005E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FF" w:rsidRDefault="00030AFF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9E3E5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165031EA"/>
    <w:multiLevelType w:val="singleLevel"/>
    <w:tmpl w:val="04090019"/>
    <w:name w:val="zzmpArticle||Article|2|4|1|4|0|41||1|0|33||1|0|32||1|0|32||1|0|32||1|0|32||1|0|32||1|0|32||1|0|32||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C121DF6"/>
    <w:multiLevelType w:val="multilevel"/>
    <w:tmpl w:val="A238C502"/>
    <w:name w:val="zzmpArticle||Article|2|4|1|4|0|41||1|0|33||1|0|32||1|0|32||1|0|32||1|0|32||1|0|32||1|0|32||1|0|32||"/>
    <w:lvl w:ilvl="0">
      <w:start w:val="1"/>
      <w:numFmt w:val="decimal"/>
      <w:pStyle w:val="ArticleL1"/>
      <w:suff w:val="nothing"/>
      <w:lvlText w:val="Article %1"/>
      <w:lvlJc w:val="left"/>
      <w:pPr>
        <w:ind w:left="0" w:firstLine="0"/>
      </w:pPr>
      <w:rPr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Letter"/>
      <w:pStyle w:val="Artic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4">
      <w:start w:val="1"/>
      <w:numFmt w:val="upperLetter"/>
      <w:pStyle w:val="Article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3">
    <w:nsid w:val="1EB237B8"/>
    <w:multiLevelType w:val="singleLevel"/>
    <w:tmpl w:val="04090019"/>
    <w:name w:val="zzmpArticle||Article|2|4|1|4|0|41||1|0|33||1|0|32||1|0|32||1|0|32||1|0|32||1|0|32||1|0|32||1|0|32||2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F9126DC"/>
    <w:multiLevelType w:val="hybridMultilevel"/>
    <w:tmpl w:val="B0A684A2"/>
    <w:lvl w:ilvl="0" w:tplc="ACC81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E72C2"/>
    <w:multiLevelType w:val="multilevel"/>
    <w:tmpl w:val="470275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1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409F63F8"/>
    <w:multiLevelType w:val="multilevel"/>
    <w:tmpl w:val="E450632C"/>
    <w:name w:val="zzmpStandard||Standard|2|3|1|1|0|32||1|0|32||1|0|32||1|0|32||1|0|32||1|0|32||1|0|32||1|0|32||1|0|32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6">
      <w:start w:val="1"/>
      <w:numFmt w:val="upperRoman"/>
      <w:pStyle w:val="StandardL7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7">
    <w:nsid w:val="4D9A579C"/>
    <w:multiLevelType w:val="multilevel"/>
    <w:tmpl w:val="89120A5E"/>
    <w:lvl w:ilvl="0">
      <w:start w:val="1"/>
      <w:numFmt w:val="decimal"/>
      <w:pStyle w:val="MT1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lowerLetter"/>
      <w:pStyle w:val="M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M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MT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MT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MT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upperLetter"/>
      <w:pStyle w:val="MT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MT8"/>
      <w:lvlText w:val="%8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MT9"/>
      <w:lvlText w:val="%9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8">
    <w:nsid w:val="52FF548D"/>
    <w:multiLevelType w:val="hybridMultilevel"/>
    <w:tmpl w:val="E1F65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6A23B6"/>
    <w:multiLevelType w:val="hybridMultilevel"/>
    <w:tmpl w:val="4470F128"/>
    <w:lvl w:ilvl="0" w:tplc="646C2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CD2789"/>
    <w:multiLevelType w:val="singleLevel"/>
    <w:tmpl w:val="F59AB00C"/>
    <w:lvl w:ilvl="0">
      <w:start w:val="1"/>
      <w:numFmt w:val="bullet"/>
      <w:pStyle w:val="DWPVBullet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1">
    <w:nsid w:val="7A462D02"/>
    <w:multiLevelType w:val="hybridMultilevel"/>
    <w:tmpl w:val="013CA8D8"/>
    <w:lvl w:ilvl="0" w:tplc="FDAC35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removePersonalInformation/>
  <w:removeDateAndTime/>
  <w:proofState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85TrailerDate" w:val="0"/>
    <w:docVar w:name="85TrailerDateField" w:val="0"/>
    <w:docVar w:name="85TrailerDraft" w:val="0"/>
    <w:docVar w:name="85TrailerFileNumber" w:val="1"/>
    <w:docVar w:name="85TrailerTime" w:val="0"/>
    <w:docVar w:name="85TrailerType" w:val="102"/>
    <w:docVar w:name="MPDocID" w:val="C:\Users\mccormin\Desktop\BAF - Resolution of Provisional Board - Eligibility Criteria for Stakeholders.doc"/>
    <w:docVar w:name="MPDocIDTemplate" w:val="%l\ |%n|\%v"/>
    <w:docVar w:name="MPDocIDTemplateDefault" w:val="%l\ |%n|\%v"/>
    <w:docVar w:name="NewDocStampType" w:val="7"/>
  </w:docVars>
  <w:rsids>
    <w:rsidRoot w:val="004951BF"/>
    <w:rsid w:val="00000DBB"/>
    <w:rsid w:val="00001F38"/>
    <w:rsid w:val="00030AFF"/>
    <w:rsid w:val="000A2EC3"/>
    <w:rsid w:val="000E53C3"/>
    <w:rsid w:val="000F73C0"/>
    <w:rsid w:val="00141C7A"/>
    <w:rsid w:val="00180CEB"/>
    <w:rsid w:val="001940E2"/>
    <w:rsid w:val="001E1BC1"/>
    <w:rsid w:val="00221508"/>
    <w:rsid w:val="00227909"/>
    <w:rsid w:val="00257BC8"/>
    <w:rsid w:val="0027029E"/>
    <w:rsid w:val="002E0CA5"/>
    <w:rsid w:val="00320355"/>
    <w:rsid w:val="00325F38"/>
    <w:rsid w:val="003764C2"/>
    <w:rsid w:val="003B24DE"/>
    <w:rsid w:val="003B3F44"/>
    <w:rsid w:val="003D42FF"/>
    <w:rsid w:val="003D6356"/>
    <w:rsid w:val="003F70B3"/>
    <w:rsid w:val="00405872"/>
    <w:rsid w:val="00410DF8"/>
    <w:rsid w:val="004348BA"/>
    <w:rsid w:val="004511C1"/>
    <w:rsid w:val="004951BF"/>
    <w:rsid w:val="004C7C5D"/>
    <w:rsid w:val="004E79F5"/>
    <w:rsid w:val="004F2B4E"/>
    <w:rsid w:val="005434B2"/>
    <w:rsid w:val="00553081"/>
    <w:rsid w:val="005A2EC5"/>
    <w:rsid w:val="005C127A"/>
    <w:rsid w:val="005C6960"/>
    <w:rsid w:val="006326FE"/>
    <w:rsid w:val="00642E42"/>
    <w:rsid w:val="006540C9"/>
    <w:rsid w:val="0067005E"/>
    <w:rsid w:val="006C7E3F"/>
    <w:rsid w:val="006F1E94"/>
    <w:rsid w:val="00723F87"/>
    <w:rsid w:val="00726AA1"/>
    <w:rsid w:val="00726CC9"/>
    <w:rsid w:val="00736F88"/>
    <w:rsid w:val="007850A8"/>
    <w:rsid w:val="00797661"/>
    <w:rsid w:val="007C542D"/>
    <w:rsid w:val="0081489B"/>
    <w:rsid w:val="00844E27"/>
    <w:rsid w:val="00903972"/>
    <w:rsid w:val="00915264"/>
    <w:rsid w:val="00925543"/>
    <w:rsid w:val="00933D2F"/>
    <w:rsid w:val="009D7181"/>
    <w:rsid w:val="00A74604"/>
    <w:rsid w:val="00A8111E"/>
    <w:rsid w:val="00AB1035"/>
    <w:rsid w:val="00B12BF3"/>
    <w:rsid w:val="00B2602A"/>
    <w:rsid w:val="00B40FF7"/>
    <w:rsid w:val="00B6189D"/>
    <w:rsid w:val="00B7009B"/>
    <w:rsid w:val="00B97C4E"/>
    <w:rsid w:val="00BE0DA7"/>
    <w:rsid w:val="00BE6E73"/>
    <w:rsid w:val="00C26FF0"/>
    <w:rsid w:val="00C76C2F"/>
    <w:rsid w:val="00C94138"/>
    <w:rsid w:val="00CF7406"/>
    <w:rsid w:val="00D32F03"/>
    <w:rsid w:val="00D62550"/>
    <w:rsid w:val="00E170D1"/>
    <w:rsid w:val="00E17FCF"/>
    <w:rsid w:val="00E5058E"/>
    <w:rsid w:val="00E550BD"/>
    <w:rsid w:val="00E71D8B"/>
    <w:rsid w:val="00EC24EC"/>
    <w:rsid w:val="00ED4572"/>
    <w:rsid w:val="00F33FC7"/>
    <w:rsid w:val="00F6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CA"/>
    </w:rPr>
  </w:style>
  <w:style w:type="paragraph" w:styleId="Heading1">
    <w:name w:val="heading 1"/>
    <w:basedOn w:val="Normal"/>
    <w:next w:val="BodyText"/>
    <w:uiPriority w:val="9"/>
    <w:qFormat/>
    <w:pPr>
      <w:keepNext/>
      <w:numPr>
        <w:numId w:val="3"/>
      </w:numPr>
      <w:overflowPunct w:val="0"/>
      <w:autoSpaceDE w:val="0"/>
      <w:autoSpaceDN w:val="0"/>
      <w:adjustRightInd w:val="0"/>
      <w:spacing w:after="240"/>
      <w:jc w:val="both"/>
      <w:textAlignment w:val="baseline"/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BodyText"/>
    <w:uiPriority w:val="9"/>
    <w:qFormat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after="240"/>
      <w:jc w:val="both"/>
      <w:textAlignment w:val="baseline"/>
      <w:outlineLvl w:val="1"/>
    </w:pPr>
    <w:rPr>
      <w:lang w:val="en-GB"/>
    </w:rPr>
  </w:style>
  <w:style w:type="paragraph" w:styleId="Heading3">
    <w:name w:val="heading 3"/>
    <w:basedOn w:val="Normal"/>
    <w:next w:val="BodyText"/>
    <w:uiPriority w:val="9"/>
    <w:qFormat/>
    <w:pPr>
      <w:numPr>
        <w:ilvl w:val="2"/>
        <w:numId w:val="3"/>
      </w:numPr>
      <w:overflowPunct w:val="0"/>
      <w:autoSpaceDE w:val="0"/>
      <w:autoSpaceDN w:val="0"/>
      <w:adjustRightInd w:val="0"/>
      <w:spacing w:after="240"/>
      <w:jc w:val="both"/>
      <w:textAlignment w:val="baseline"/>
      <w:outlineLvl w:val="2"/>
    </w:pPr>
    <w:rPr>
      <w:kern w:val="1"/>
      <w:lang w:val="en-GB"/>
    </w:rPr>
  </w:style>
  <w:style w:type="paragraph" w:styleId="Heading4">
    <w:name w:val="heading 4"/>
    <w:basedOn w:val="Normal"/>
    <w:next w:val="BodyText"/>
    <w:uiPriority w:val="9"/>
    <w:qFormat/>
    <w:pPr>
      <w:keepNext/>
      <w:numPr>
        <w:ilvl w:val="3"/>
        <w:numId w:val="3"/>
      </w:numPr>
      <w:overflowPunct w:val="0"/>
      <w:autoSpaceDE w:val="0"/>
      <w:autoSpaceDN w:val="0"/>
      <w:adjustRightInd w:val="0"/>
      <w:spacing w:after="240"/>
      <w:textAlignment w:val="baseline"/>
      <w:outlineLvl w:val="3"/>
    </w:pPr>
    <w:rPr>
      <w:lang w:val="en-GB"/>
    </w:rPr>
  </w:style>
  <w:style w:type="paragraph" w:styleId="Heading5">
    <w:name w:val="heading 5"/>
    <w:basedOn w:val="Normal"/>
    <w:next w:val="Normal"/>
    <w:uiPriority w:val="9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lang w:val="en-US"/>
    </w:rPr>
  </w:style>
  <w:style w:type="character" w:customStyle="1" w:styleId="DocId">
    <w:name w:val="DocId"/>
    <w:basedOn w:val="DefaultParagraphFont"/>
    <w:rPr>
      <w:noProof w:val="0"/>
      <w:sz w:val="12"/>
      <w:lang w:val="en-CA"/>
    </w:rPr>
  </w:style>
  <w:style w:type="paragraph" w:styleId="EnvelopeAddress">
    <w:name w:val="envelope address"/>
    <w:basedOn w:val="Normal"/>
    <w:pPr>
      <w:framePr w:w="7920" w:h="2592" w:hRule="exact" w:hSpace="187" w:vSpace="187" w:wrap="around" w:hAnchor="page" w:xAlign="center" w:yAlign="bottom"/>
      <w:ind w:left="288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12"/>
    </w:rPr>
  </w:style>
  <w:style w:type="character" w:styleId="FootnoteReference">
    <w:name w:val="footnote reference"/>
    <w:basedOn w:val="DefaultParagraphFont"/>
    <w:rPr>
      <w:sz w:val="20"/>
      <w:vertAlign w:val="superscript"/>
    </w:rPr>
  </w:style>
  <w:style w:type="paragraph" w:styleId="FootnoteText">
    <w:name w:val="footnote text"/>
    <w:basedOn w:val="Normal"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Gowlingspara">
    <w:name w:val="Gowlings_para"/>
    <w:aliases w:val="P,p"/>
    <w:basedOn w:val="Normal"/>
    <w:pPr>
      <w:spacing w:after="240"/>
      <w:jc w:val="both"/>
    </w:pPr>
  </w:style>
  <w:style w:type="paragraph" w:customStyle="1" w:styleId="GowlingsHanging">
    <w:name w:val="Gowlings_Hanging"/>
    <w:aliases w:val="H"/>
    <w:basedOn w:val="Gowlingspara"/>
    <w:pPr>
      <w:ind w:left="720" w:hanging="720"/>
    </w:pPr>
  </w:style>
  <w:style w:type="paragraph" w:customStyle="1" w:styleId="GowlingsCentre">
    <w:name w:val="Gowlings_Centre"/>
    <w:aliases w:val="C"/>
    <w:basedOn w:val="Gowlingspara"/>
    <w:pPr>
      <w:jc w:val="center"/>
    </w:pPr>
  </w:style>
  <w:style w:type="paragraph" w:customStyle="1" w:styleId="GowlingsLeft">
    <w:name w:val="Gowlings_Left"/>
    <w:aliases w:val="L"/>
    <w:basedOn w:val="Gowlingspara"/>
    <w:pPr>
      <w:jc w:val="left"/>
    </w:pPr>
  </w:style>
  <w:style w:type="paragraph" w:customStyle="1" w:styleId="GowlingsLR">
    <w:name w:val="Gowlings_LR"/>
    <w:aliases w:val="LR"/>
    <w:basedOn w:val="Gowlingspara"/>
    <w:pPr>
      <w:ind w:left="720" w:right="720"/>
    </w:pPr>
  </w:style>
  <w:style w:type="paragraph" w:customStyle="1" w:styleId="GowlingsLR2">
    <w:name w:val="Gowlings_LR2"/>
    <w:aliases w:val="LR2"/>
    <w:basedOn w:val="Gowlingspara"/>
    <w:pPr>
      <w:ind w:left="1440" w:right="1440"/>
    </w:pPr>
  </w:style>
  <w:style w:type="paragraph" w:customStyle="1" w:styleId="GowlingsMainHeading">
    <w:name w:val="Gowlings_MainHeading"/>
    <w:aliases w:val="OMH"/>
    <w:basedOn w:val="Gowlingspara"/>
    <w:next w:val="Gowlingspara"/>
    <w:pPr>
      <w:keepNext/>
      <w:keepLines/>
      <w:spacing w:before="120"/>
      <w:jc w:val="center"/>
      <w:outlineLvl w:val="0"/>
    </w:pPr>
    <w:rPr>
      <w:rFonts w:ascii="Times New Roman Bold" w:hAnsi="Times New Roman Bold"/>
      <w:b/>
      <w:caps/>
      <w:u w:val="single"/>
    </w:rPr>
  </w:style>
  <w:style w:type="paragraph" w:customStyle="1" w:styleId="Gowlingspara1">
    <w:name w:val="Gowlings_para1"/>
    <w:aliases w:val="1"/>
    <w:basedOn w:val="Gowlingspara"/>
    <w:pPr>
      <w:ind w:left="720"/>
    </w:pPr>
  </w:style>
  <w:style w:type="paragraph" w:customStyle="1" w:styleId="Gowlingspara2">
    <w:name w:val="Gowlings_para2"/>
    <w:aliases w:val="2"/>
    <w:basedOn w:val="Gowlingspara"/>
    <w:pPr>
      <w:ind w:left="1440"/>
    </w:pPr>
  </w:style>
  <w:style w:type="paragraph" w:customStyle="1" w:styleId="Gowlingspara3">
    <w:name w:val="Gowlings_para3"/>
    <w:aliases w:val="3"/>
    <w:basedOn w:val="Gowlingspara"/>
    <w:pPr>
      <w:ind w:left="2160"/>
    </w:pPr>
  </w:style>
  <w:style w:type="paragraph" w:customStyle="1" w:styleId="Gowlingspara4">
    <w:name w:val="Gowlings_para4"/>
    <w:aliases w:val="4"/>
    <w:basedOn w:val="Gowlingspara"/>
    <w:pPr>
      <w:ind w:left="2880"/>
    </w:pPr>
  </w:style>
  <w:style w:type="paragraph" w:customStyle="1" w:styleId="Gowlingspara5">
    <w:name w:val="Gowlings_para5"/>
    <w:aliases w:val="5"/>
    <w:basedOn w:val="Gowlingspara"/>
    <w:pPr>
      <w:ind w:left="3600"/>
    </w:pPr>
  </w:style>
  <w:style w:type="paragraph" w:customStyle="1" w:styleId="GowlingsPlain">
    <w:name w:val="Gowlings_Plain"/>
    <w:basedOn w:val="Normal"/>
  </w:style>
  <w:style w:type="paragraph" w:customStyle="1" w:styleId="GowlingsQuote">
    <w:name w:val="Gowlings_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GowlingsReference">
    <w:name w:val="Gowlings_Reference"/>
    <w:aliases w:val="Ref"/>
    <w:basedOn w:val="GowlingsQuote"/>
    <w:rPr>
      <w:rFonts w:ascii="Times New Roman Bold" w:hAnsi="Times New Roman Bold"/>
      <w:b/>
    </w:rPr>
  </w:style>
  <w:style w:type="paragraph" w:customStyle="1" w:styleId="GowlingsRight">
    <w:name w:val="Gowlings_Right"/>
    <w:aliases w:val="R"/>
    <w:basedOn w:val="Gowlingspara"/>
    <w:pPr>
      <w:jc w:val="right"/>
    </w:pPr>
  </w:style>
  <w:style w:type="paragraph" w:customStyle="1" w:styleId="GowlingsSubHeading">
    <w:name w:val="Gowlings_SubHeading"/>
    <w:basedOn w:val="Gowlingspara"/>
    <w:next w:val="Gowlingspara"/>
    <w:pPr>
      <w:keepNext/>
      <w:keepLines/>
      <w:spacing w:before="120"/>
      <w:jc w:val="left"/>
      <w:outlineLvl w:val="1"/>
    </w:pPr>
    <w:rPr>
      <w:rFonts w:ascii="Times New Roman Bold" w:hAnsi="Times New Roman Bold"/>
      <w:b/>
      <w:u w:val="single"/>
    </w:rPr>
  </w:style>
  <w:style w:type="paragraph" w:customStyle="1" w:styleId="GowlingsTab">
    <w:name w:val="Gowlings_Tab"/>
    <w:aliases w:val="T"/>
    <w:basedOn w:val="Gowlingspara"/>
    <w:pPr>
      <w:ind w:firstLine="720"/>
    </w:pPr>
  </w:style>
  <w:style w:type="paragraph" w:customStyle="1" w:styleId="GowlingsTab2">
    <w:name w:val="Gowlings_Tab2"/>
    <w:aliases w:val="T2"/>
    <w:basedOn w:val="Gowlingspara"/>
    <w:pPr>
      <w:ind w:firstLine="1440"/>
    </w:pPr>
  </w:style>
  <w:style w:type="character" w:styleId="PageNumber">
    <w:name w:val="page number"/>
    <w:basedOn w:val="DefaultParagraphFont"/>
    <w:rPr>
      <w:noProof w:val="0"/>
      <w:sz w:val="24"/>
      <w:lang w:val="en-CA"/>
    </w:rPr>
  </w:style>
  <w:style w:type="character" w:customStyle="1" w:styleId="Prompt">
    <w:name w:val="Prompt"/>
    <w:aliases w:val="Pr,pt"/>
    <w:basedOn w:val="DefaultParagraphFont"/>
    <w:rPr>
      <w:color w:val="auto"/>
    </w:rPr>
  </w:style>
  <w:style w:type="paragraph" w:customStyle="1" w:styleId="Schedule">
    <w:name w:val="Schedule"/>
    <w:aliases w:val="Sch"/>
    <w:basedOn w:val="Gowlingspara"/>
    <w:next w:val="Gowlingspara"/>
    <w:pPr>
      <w:keepNext/>
      <w:jc w:val="center"/>
    </w:pPr>
    <w:rPr>
      <w:rFonts w:ascii="Times New Roman Bold" w:hAnsi="Times New Roman Bold"/>
      <w:b/>
      <w:caps/>
    </w:rPr>
  </w:style>
  <w:style w:type="paragraph" w:customStyle="1" w:styleId="ArticleL1">
    <w:name w:val="Article_L1"/>
    <w:basedOn w:val="Normal"/>
    <w:next w:val="ArticleL2"/>
    <w:pPr>
      <w:keepNext/>
      <w:numPr>
        <w:numId w:val="1"/>
      </w:numPr>
      <w:spacing w:after="240"/>
      <w:jc w:val="center"/>
      <w:outlineLvl w:val="0"/>
    </w:pPr>
    <w:rPr>
      <w:b/>
      <w:caps/>
    </w:rPr>
  </w:style>
  <w:style w:type="paragraph" w:customStyle="1" w:styleId="ArticleL2">
    <w:name w:val="Article_L2"/>
    <w:basedOn w:val="ArticleL1"/>
    <w:next w:val="Gowlingspara"/>
    <w:pPr>
      <w:numPr>
        <w:ilvl w:val="1"/>
      </w:numPr>
      <w:jc w:val="both"/>
      <w:outlineLvl w:val="1"/>
    </w:pPr>
    <w:rPr>
      <w:caps w:val="0"/>
    </w:rPr>
  </w:style>
  <w:style w:type="paragraph" w:customStyle="1" w:styleId="ArticleL3">
    <w:name w:val="Article_L3"/>
    <w:basedOn w:val="ArticleL2"/>
    <w:pPr>
      <w:keepNext w:val="0"/>
      <w:numPr>
        <w:ilvl w:val="2"/>
      </w:numPr>
      <w:outlineLvl w:val="2"/>
    </w:pPr>
    <w:rPr>
      <w:b w:val="0"/>
    </w:rPr>
  </w:style>
  <w:style w:type="paragraph" w:customStyle="1" w:styleId="ArticleL4">
    <w:name w:val="Article_L4"/>
    <w:basedOn w:val="ArticleL3"/>
    <w:pPr>
      <w:numPr>
        <w:ilvl w:val="3"/>
      </w:numPr>
      <w:outlineLvl w:val="3"/>
    </w:pPr>
  </w:style>
  <w:style w:type="paragraph" w:customStyle="1" w:styleId="ArticleL5">
    <w:name w:val="Article_L5"/>
    <w:basedOn w:val="ArticleL4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pPr>
      <w:numPr>
        <w:ilvl w:val="8"/>
      </w:numPr>
      <w:outlineLvl w:val="8"/>
    </w:pPr>
  </w:style>
  <w:style w:type="paragraph" w:customStyle="1" w:styleId="TxBrp5">
    <w:name w:val="TxBr_p5"/>
    <w:basedOn w:val="Normal"/>
    <w:pPr>
      <w:widowControl w:val="0"/>
      <w:tabs>
        <w:tab w:val="left" w:pos="748"/>
      </w:tabs>
      <w:spacing w:line="240" w:lineRule="atLeast"/>
      <w:ind w:left="635" w:hanging="748"/>
    </w:pPr>
    <w:rPr>
      <w:snapToGrid w:val="0"/>
      <w:lang w:val="en-US"/>
    </w:rPr>
  </w:style>
  <w:style w:type="paragraph" w:customStyle="1" w:styleId="TxBrp7">
    <w:name w:val="TxBr_p7"/>
    <w:basedOn w:val="Normal"/>
    <w:pPr>
      <w:widowControl w:val="0"/>
      <w:spacing w:line="283" w:lineRule="atLeast"/>
      <w:ind w:left="635" w:hanging="748"/>
    </w:pPr>
    <w:rPr>
      <w:snapToGrid w:val="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462"/>
      </w:tabs>
      <w:spacing w:line="283" w:lineRule="atLeast"/>
      <w:ind w:left="1462" w:hanging="714"/>
    </w:pPr>
    <w:rPr>
      <w:snapToGrid w:val="0"/>
      <w:lang w:val="en-US"/>
    </w:rPr>
  </w:style>
  <w:style w:type="paragraph" w:customStyle="1" w:styleId="TxBrp10">
    <w:name w:val="TxBr_p10"/>
    <w:basedOn w:val="Normal"/>
    <w:pPr>
      <w:widowControl w:val="0"/>
      <w:tabs>
        <w:tab w:val="left" w:pos="748"/>
      </w:tabs>
      <w:spacing w:line="283" w:lineRule="atLeast"/>
      <w:ind w:left="635"/>
      <w:jc w:val="both"/>
    </w:pPr>
    <w:rPr>
      <w:snapToGrid w:val="0"/>
      <w:lang w:val="en-US"/>
    </w:rPr>
  </w:style>
  <w:style w:type="paragraph" w:customStyle="1" w:styleId="TxBrp11">
    <w:name w:val="TxBr_p11"/>
    <w:basedOn w:val="Normal"/>
    <w:pPr>
      <w:widowControl w:val="0"/>
      <w:tabs>
        <w:tab w:val="left" w:pos="1462"/>
      </w:tabs>
      <w:spacing w:line="283" w:lineRule="atLeast"/>
      <w:ind w:left="1462" w:hanging="714"/>
      <w:jc w:val="both"/>
    </w:pPr>
    <w:rPr>
      <w:snapToGrid w:val="0"/>
      <w:lang w:val="en-US"/>
    </w:rPr>
  </w:style>
  <w:style w:type="paragraph" w:customStyle="1" w:styleId="TxBrp12">
    <w:name w:val="TxBr_p12"/>
    <w:basedOn w:val="Normal"/>
    <w:pPr>
      <w:widowControl w:val="0"/>
      <w:tabs>
        <w:tab w:val="left" w:pos="2914"/>
      </w:tabs>
      <w:spacing w:line="283" w:lineRule="atLeast"/>
      <w:ind w:left="2914" w:hanging="720"/>
      <w:jc w:val="both"/>
    </w:pPr>
    <w:rPr>
      <w:snapToGrid w:val="0"/>
      <w:lang w:val="en-US"/>
    </w:rPr>
  </w:style>
  <w:style w:type="paragraph" w:customStyle="1" w:styleId="TxBrp13">
    <w:name w:val="TxBr_p13"/>
    <w:basedOn w:val="Normal"/>
    <w:pPr>
      <w:widowControl w:val="0"/>
      <w:tabs>
        <w:tab w:val="left" w:pos="1462"/>
      </w:tabs>
      <w:spacing w:line="283" w:lineRule="atLeast"/>
      <w:ind w:left="79"/>
      <w:jc w:val="both"/>
    </w:pPr>
    <w:rPr>
      <w:snapToGrid w:val="0"/>
      <w:lang w:val="en-US"/>
    </w:rPr>
  </w:style>
  <w:style w:type="paragraph" w:customStyle="1" w:styleId="TxBrp14">
    <w:name w:val="TxBr_p14"/>
    <w:basedOn w:val="Normal"/>
    <w:pPr>
      <w:widowControl w:val="0"/>
      <w:tabs>
        <w:tab w:val="left" w:pos="748"/>
      </w:tabs>
      <w:spacing w:line="283" w:lineRule="atLeast"/>
      <w:ind w:left="635" w:hanging="748"/>
      <w:jc w:val="both"/>
    </w:pPr>
    <w:rPr>
      <w:snapToGrid w:val="0"/>
      <w:lang w:val="en-US"/>
    </w:rPr>
  </w:style>
  <w:style w:type="paragraph" w:customStyle="1" w:styleId="TxBrp15">
    <w:name w:val="TxBr_p15"/>
    <w:basedOn w:val="Normal"/>
    <w:pPr>
      <w:widowControl w:val="0"/>
      <w:spacing w:line="240" w:lineRule="atLeast"/>
      <w:ind w:left="635" w:hanging="748"/>
      <w:jc w:val="both"/>
    </w:pPr>
    <w:rPr>
      <w:snapToGrid w:val="0"/>
      <w:lang w:val="en-US"/>
    </w:rPr>
  </w:style>
  <w:style w:type="paragraph" w:customStyle="1" w:styleId="TxBrp16">
    <w:name w:val="TxBr_p16"/>
    <w:basedOn w:val="Normal"/>
    <w:pPr>
      <w:widowControl w:val="0"/>
      <w:spacing w:line="283" w:lineRule="atLeast"/>
      <w:jc w:val="both"/>
    </w:pPr>
    <w:rPr>
      <w:snapToGrid w:val="0"/>
      <w:lang w:val="en-US"/>
    </w:rPr>
  </w:style>
  <w:style w:type="paragraph" w:customStyle="1" w:styleId="TxBrp6">
    <w:name w:val="TxBr_p6"/>
    <w:basedOn w:val="Normal"/>
    <w:pPr>
      <w:widowControl w:val="0"/>
      <w:spacing w:line="283" w:lineRule="atLeast"/>
    </w:pPr>
    <w:rPr>
      <w:snapToGrid w:val="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4716"/>
      </w:tabs>
      <w:spacing w:line="240" w:lineRule="atLeast"/>
      <w:ind w:left="3334"/>
      <w:jc w:val="both"/>
    </w:pPr>
    <w:rPr>
      <w:snapToGrid w:val="0"/>
      <w:lang w:val="en-US"/>
    </w:rPr>
  </w:style>
  <w:style w:type="paragraph" w:customStyle="1" w:styleId="TxBrc3">
    <w:name w:val="TxBr_c3"/>
    <w:basedOn w:val="Normal"/>
    <w:pPr>
      <w:widowControl w:val="0"/>
      <w:spacing w:line="240" w:lineRule="atLeast"/>
      <w:jc w:val="center"/>
    </w:pPr>
    <w:rPr>
      <w:snapToGrid w:val="0"/>
      <w:lang w:val="en-US"/>
    </w:rPr>
  </w:style>
  <w:style w:type="paragraph" w:customStyle="1" w:styleId="TxBrp22">
    <w:name w:val="TxBr_p22"/>
    <w:basedOn w:val="Normal"/>
    <w:pPr>
      <w:widowControl w:val="0"/>
      <w:tabs>
        <w:tab w:val="left" w:pos="2194"/>
        <w:tab w:val="left" w:pos="2914"/>
      </w:tabs>
      <w:spacing w:line="283" w:lineRule="atLeast"/>
      <w:ind w:left="2914" w:hanging="720"/>
    </w:pPr>
    <w:rPr>
      <w:snapToGrid w:val="0"/>
      <w:lang w:val="en-US"/>
    </w:rPr>
  </w:style>
  <w:style w:type="paragraph" w:customStyle="1" w:styleId="TxBrc24">
    <w:name w:val="TxBr_c24"/>
    <w:basedOn w:val="Normal"/>
    <w:pPr>
      <w:widowControl w:val="0"/>
      <w:spacing w:line="240" w:lineRule="atLeast"/>
      <w:jc w:val="center"/>
    </w:pPr>
    <w:rPr>
      <w:snapToGrid w:val="0"/>
      <w:lang w:val="en-US"/>
    </w:rPr>
  </w:style>
  <w:style w:type="paragraph" w:customStyle="1" w:styleId="TxBrp27">
    <w:name w:val="TxBr_p27"/>
    <w:basedOn w:val="Normal"/>
    <w:pPr>
      <w:widowControl w:val="0"/>
      <w:tabs>
        <w:tab w:val="left" w:pos="204"/>
      </w:tabs>
      <w:spacing w:line="283" w:lineRule="atLeast"/>
      <w:jc w:val="both"/>
    </w:pPr>
    <w:rPr>
      <w:snapToGrid w:val="0"/>
      <w:lang w:val="en-US"/>
    </w:rPr>
  </w:style>
  <w:style w:type="paragraph" w:customStyle="1" w:styleId="TxBrp30">
    <w:name w:val="TxBr_p30"/>
    <w:basedOn w:val="Normal"/>
    <w:pPr>
      <w:widowControl w:val="0"/>
      <w:spacing w:line="240" w:lineRule="atLeast"/>
      <w:jc w:val="both"/>
    </w:pPr>
    <w:rPr>
      <w:snapToGrid w:val="0"/>
      <w:lang w:val="en-US"/>
    </w:rPr>
  </w:style>
  <w:style w:type="paragraph" w:customStyle="1" w:styleId="TxBrp29">
    <w:name w:val="TxBr_p29"/>
    <w:basedOn w:val="Normal"/>
    <w:pPr>
      <w:widowControl w:val="0"/>
      <w:tabs>
        <w:tab w:val="left" w:pos="737"/>
      </w:tabs>
      <w:spacing w:line="283" w:lineRule="atLeast"/>
      <w:ind w:left="646" w:hanging="737"/>
      <w:jc w:val="both"/>
    </w:pPr>
    <w:rPr>
      <w:snapToGrid w:val="0"/>
      <w:lang w:val="en-US"/>
    </w:rPr>
  </w:style>
  <w:style w:type="paragraph" w:customStyle="1" w:styleId="TxBrp31">
    <w:name w:val="TxBr_p31"/>
    <w:basedOn w:val="Normal"/>
    <w:pPr>
      <w:widowControl w:val="0"/>
      <w:spacing w:line="240" w:lineRule="atLeast"/>
      <w:jc w:val="both"/>
    </w:pPr>
    <w:rPr>
      <w:snapToGrid w:val="0"/>
      <w:lang w:val="en-US"/>
    </w:rPr>
  </w:style>
  <w:style w:type="paragraph" w:customStyle="1" w:styleId="TxBrp32">
    <w:name w:val="TxBr_p32"/>
    <w:basedOn w:val="Normal"/>
    <w:pPr>
      <w:widowControl w:val="0"/>
      <w:spacing w:line="283" w:lineRule="atLeast"/>
      <w:ind w:left="646"/>
      <w:jc w:val="both"/>
    </w:pPr>
    <w:rPr>
      <w:snapToGrid w:val="0"/>
      <w:lang w:val="en-US"/>
    </w:rPr>
  </w:style>
  <w:style w:type="paragraph" w:customStyle="1" w:styleId="TxBrp33">
    <w:name w:val="TxBr_p33"/>
    <w:basedOn w:val="Normal"/>
    <w:pPr>
      <w:widowControl w:val="0"/>
      <w:tabs>
        <w:tab w:val="left" w:pos="1422"/>
      </w:tabs>
      <w:spacing w:line="283" w:lineRule="atLeast"/>
      <w:ind w:left="1423" w:hanging="686"/>
      <w:jc w:val="both"/>
    </w:pPr>
    <w:rPr>
      <w:snapToGrid w:val="0"/>
      <w:lang w:val="en-US"/>
    </w:rPr>
  </w:style>
  <w:style w:type="paragraph" w:customStyle="1" w:styleId="TxBrt35">
    <w:name w:val="TxBr_t35"/>
    <w:basedOn w:val="Normal"/>
    <w:pPr>
      <w:widowControl w:val="0"/>
      <w:spacing w:line="532" w:lineRule="atLeast"/>
    </w:pPr>
    <w:rPr>
      <w:snapToGrid w:val="0"/>
      <w:lang w:val="en-US"/>
    </w:rPr>
  </w:style>
  <w:style w:type="paragraph" w:customStyle="1" w:styleId="TxBrc37">
    <w:name w:val="TxBr_c37"/>
    <w:basedOn w:val="Normal"/>
    <w:pPr>
      <w:widowControl w:val="0"/>
      <w:spacing w:line="240" w:lineRule="atLeast"/>
      <w:jc w:val="center"/>
    </w:pPr>
    <w:rPr>
      <w:snapToGrid w:val="0"/>
      <w:lang w:val="en-US"/>
    </w:rPr>
  </w:style>
  <w:style w:type="paragraph" w:customStyle="1" w:styleId="StandardL1">
    <w:name w:val="Standard_L1"/>
    <w:basedOn w:val="Normal"/>
    <w:pPr>
      <w:numPr>
        <w:numId w:val="2"/>
      </w:numPr>
      <w:spacing w:after="240"/>
      <w:jc w:val="both"/>
      <w:outlineLvl w:val="0"/>
    </w:pPr>
  </w:style>
  <w:style w:type="paragraph" w:customStyle="1" w:styleId="StandardL2">
    <w:name w:val="Standard_L2"/>
    <w:basedOn w:val="StandardL1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pPr>
      <w:numPr>
        <w:ilvl w:val="8"/>
      </w:numPr>
      <w:outlineLvl w:val="8"/>
    </w:pPr>
  </w:style>
  <w:style w:type="character" w:customStyle="1" w:styleId="CrossRef">
    <w:name w:val="CrossRef"/>
    <w:basedOn w:val="DefaultParagraphFont"/>
  </w:style>
  <w:style w:type="paragraph" w:customStyle="1" w:styleId="1Paragraph">
    <w:name w:val="1Paragraph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  <w:lang w:val="en-CA"/>
    </w:rPr>
  </w:style>
  <w:style w:type="paragraph" w:customStyle="1" w:styleId="3Paragraph">
    <w:name w:val="3Paragraph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</w:pPr>
    <w:rPr>
      <w:szCs w:val="24"/>
      <w:lang w:val="en-CA"/>
    </w:rPr>
  </w:style>
  <w:style w:type="paragraph" w:customStyle="1" w:styleId="4Paragraph">
    <w:name w:val="4Paragraph"/>
    <w:pPr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</w:pPr>
    <w:rPr>
      <w:szCs w:val="24"/>
      <w:lang w:val="en-CA"/>
    </w:rPr>
  </w:style>
  <w:style w:type="paragraph" w:customStyle="1" w:styleId="ssnormal">
    <w:name w:val="ssnormal"/>
    <w:basedOn w:val="Normal"/>
    <w:rPr>
      <w:color w:val="000000"/>
      <w:lang w:val="en-US"/>
    </w:rPr>
  </w:style>
  <w:style w:type="paragraph" w:customStyle="1" w:styleId="MT1">
    <w:name w:val="MT1"/>
    <w:basedOn w:val="Normal"/>
    <w:pPr>
      <w:numPr>
        <w:numId w:val="4"/>
      </w:numPr>
      <w:spacing w:after="240"/>
      <w:outlineLvl w:val="0"/>
    </w:pPr>
    <w:rPr>
      <w:szCs w:val="24"/>
    </w:rPr>
  </w:style>
  <w:style w:type="paragraph" w:customStyle="1" w:styleId="MT2">
    <w:name w:val="MT2"/>
    <w:basedOn w:val="Normal"/>
    <w:pPr>
      <w:numPr>
        <w:ilvl w:val="1"/>
        <w:numId w:val="4"/>
      </w:numPr>
      <w:spacing w:after="240"/>
      <w:outlineLvl w:val="1"/>
    </w:pPr>
    <w:rPr>
      <w:szCs w:val="24"/>
    </w:rPr>
  </w:style>
  <w:style w:type="paragraph" w:customStyle="1" w:styleId="MT3">
    <w:name w:val="MT3"/>
    <w:basedOn w:val="Normal"/>
    <w:pPr>
      <w:numPr>
        <w:ilvl w:val="2"/>
        <w:numId w:val="4"/>
      </w:numPr>
      <w:spacing w:after="240"/>
    </w:pPr>
    <w:rPr>
      <w:szCs w:val="24"/>
    </w:rPr>
  </w:style>
  <w:style w:type="paragraph" w:customStyle="1" w:styleId="MT4">
    <w:name w:val="MT4"/>
    <w:basedOn w:val="Normal"/>
    <w:pPr>
      <w:numPr>
        <w:ilvl w:val="3"/>
        <w:numId w:val="4"/>
      </w:numPr>
      <w:spacing w:after="240"/>
    </w:pPr>
    <w:rPr>
      <w:szCs w:val="24"/>
    </w:rPr>
  </w:style>
  <w:style w:type="paragraph" w:customStyle="1" w:styleId="MT5">
    <w:name w:val="MT5"/>
    <w:basedOn w:val="Normal"/>
    <w:pPr>
      <w:numPr>
        <w:ilvl w:val="4"/>
        <w:numId w:val="4"/>
      </w:numPr>
      <w:spacing w:after="240"/>
    </w:pPr>
    <w:rPr>
      <w:szCs w:val="24"/>
    </w:rPr>
  </w:style>
  <w:style w:type="paragraph" w:customStyle="1" w:styleId="MT6">
    <w:name w:val="MT6"/>
    <w:basedOn w:val="Normal"/>
    <w:pPr>
      <w:numPr>
        <w:ilvl w:val="5"/>
        <w:numId w:val="4"/>
      </w:numPr>
      <w:spacing w:after="240"/>
    </w:pPr>
    <w:rPr>
      <w:szCs w:val="24"/>
    </w:rPr>
  </w:style>
  <w:style w:type="paragraph" w:customStyle="1" w:styleId="MT7">
    <w:name w:val="MT7"/>
    <w:basedOn w:val="Normal"/>
    <w:pPr>
      <w:numPr>
        <w:ilvl w:val="6"/>
        <w:numId w:val="4"/>
      </w:numPr>
      <w:spacing w:after="240"/>
    </w:pPr>
    <w:rPr>
      <w:szCs w:val="24"/>
    </w:rPr>
  </w:style>
  <w:style w:type="paragraph" w:customStyle="1" w:styleId="MT8">
    <w:name w:val="MT8"/>
    <w:basedOn w:val="Normal"/>
    <w:pPr>
      <w:numPr>
        <w:ilvl w:val="7"/>
        <w:numId w:val="4"/>
      </w:numPr>
      <w:spacing w:after="240"/>
    </w:pPr>
    <w:rPr>
      <w:szCs w:val="24"/>
    </w:rPr>
  </w:style>
  <w:style w:type="paragraph" w:customStyle="1" w:styleId="MT9">
    <w:name w:val="MT9"/>
    <w:basedOn w:val="Normal"/>
    <w:pPr>
      <w:numPr>
        <w:ilvl w:val="8"/>
        <w:numId w:val="4"/>
      </w:numPr>
      <w:spacing w:after="240"/>
    </w:pPr>
    <w:rPr>
      <w:szCs w:val="24"/>
    </w:rPr>
  </w:style>
  <w:style w:type="paragraph" w:customStyle="1" w:styleId="DWPVBulletlist1">
    <w:name w:val="DWPVBullet list1"/>
    <w:aliases w:val="BL1"/>
    <w:basedOn w:val="Normal"/>
    <w:pPr>
      <w:numPr>
        <w:numId w:val="5"/>
      </w:numPr>
      <w:spacing w:after="120"/>
      <w:jc w:val="both"/>
    </w:pPr>
  </w:style>
  <w:style w:type="paragraph" w:customStyle="1" w:styleId="ssresheading">
    <w:name w:val="ssresheading"/>
    <w:pPr>
      <w:jc w:val="center"/>
    </w:pPr>
    <w:rPr>
      <w:sz w:val="24"/>
    </w:rPr>
  </w:style>
  <w:style w:type="paragraph" w:customStyle="1" w:styleId="MainHeadingnoU">
    <w:name w:val="MainHeading(noU)"/>
    <w:basedOn w:val="Normal"/>
    <w:pPr>
      <w:keepNext/>
      <w:keepLines/>
      <w:spacing w:before="120" w:after="240"/>
      <w:jc w:val="center"/>
      <w:outlineLvl w:val="0"/>
    </w:pPr>
    <w:rPr>
      <w:rFonts w:ascii="Times New Roman Bold" w:hAnsi="Times New Roman Bold"/>
      <w:b/>
      <w:caps/>
      <w:u w:val="single"/>
    </w:rPr>
  </w:style>
  <w:style w:type="paragraph" w:customStyle="1" w:styleId="SigningLine">
    <w:name w:val="SigningLine"/>
    <w:basedOn w:val="Normal"/>
    <w:pPr>
      <w:keepLines/>
      <w:spacing w:before="40" w:after="40"/>
    </w:pPr>
    <w:rPr>
      <w:szCs w:val="24"/>
    </w:rPr>
  </w:style>
  <w:style w:type="paragraph" w:customStyle="1" w:styleId="SigningLineCoName">
    <w:name w:val="SigningLineCoName"/>
    <w:basedOn w:val="SigningLine"/>
    <w:pPr>
      <w:keepNext/>
      <w:spacing w:before="0" w:after="240"/>
    </w:pPr>
    <w:rPr>
      <w:rFonts w:ascii="Times New Roman Bold" w:hAnsi="Times New Roman Bold"/>
      <w:b/>
      <w:caps/>
    </w:rPr>
  </w:style>
  <w:style w:type="paragraph" w:customStyle="1" w:styleId="ssHeading2">
    <w:name w:val="ssHeading2"/>
    <w:pPr>
      <w:keepNext/>
      <w:spacing w:after="240"/>
    </w:pPr>
    <w:rPr>
      <w:b/>
      <w:sz w:val="24"/>
      <w:u w:val="single"/>
      <w:lang w:val="en-CA"/>
    </w:rPr>
  </w:style>
  <w:style w:type="paragraph" w:customStyle="1" w:styleId="ssbody">
    <w:name w:val="ssbody"/>
    <w:basedOn w:val="Normal"/>
  </w:style>
  <w:style w:type="character" w:customStyle="1" w:styleId="zzmpTrailerItem">
    <w:name w:val="zzmpTrailerItem"/>
    <w:basedOn w:val="DefaultParagraphFont"/>
    <w:rsid w:val="00B6189D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kgroup\4105\OHH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6307-3E96-45E3-8B29-F4C039A5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OHHstandard.dot</Template>
  <TotalTime>0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4825</CharactersWithSpaces>
  <SharedDoc>false</SharedDoc>
  <HyperlinkBase> 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mbeebe</dc:creator>
  <cp:lastModifiedBy/>
  <cp:revision>1</cp:revision>
  <cp:lastPrinted>2012-11-07T20:31:00Z</cp:lastPrinted>
  <dcterms:created xsi:type="dcterms:W3CDTF">2013-07-23T20:20:00Z</dcterms:created>
  <dcterms:modified xsi:type="dcterms:W3CDTF">2013-07-23T20:20:00Z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gFAA2RjfPKrF47hVAsWQhPLjOmXn9PU5C7SWmrk00ekiiEeI9agdF+31RP/bCViskoNluiwRzF3mVvaf_x000d_
8Jz/nJXlJtFT9t1FW8uvSXX5rSWiWwzo60y9nkNRn+2cdM33Wset4wZcLOnd9yOf8Jz/nJXlJtFT_x000d_
9t1FW8uvSXX5rSWiWwzo60y9nkNRn+2cdM33Wsetox3Ekw1QC2uZiXSleTtu7sgI1SfCaALc+BO6_x000d_
FjKErhapBnfvSW6KM</vt:lpwstr>
  </property>
  <property fmtid="{D5CDD505-2E9C-101B-9397-08002B2CF9AE}" pid="3" name="MAIL_MSG_ID2">
    <vt:lpwstr>3cCMerlKBO6aCaUXn6w2GKatgSxDZHrb6cYvSnXOO+qNlVLqbVUARn89/Zd_x000d_
scCdM3MN6JcgxuOIdiQ8BiCFDvzDnG2s/tyoPg==</vt:lpwstr>
  </property>
  <property fmtid="{D5CDD505-2E9C-101B-9397-08002B2CF9AE}" pid="4" name="RESPONSE_SENDER_NAME">
    <vt:lpwstr>sAAA2RgG6J6jCJ2/cssbTb/8Ec/GR0zDjQAXkxx05++7pZQ=</vt:lpwstr>
  </property>
  <property fmtid="{D5CDD505-2E9C-101B-9397-08002B2CF9AE}" pid="5" name="EMAIL_OWNER_ADDRESS">
    <vt:lpwstr>ABAAMV6B7YzPbaKed5isp88EjrwtVrKFqEQ6TUTJo89+5AV2JDwGIIUO/CHKEDuZi7WL</vt:lpwstr>
  </property>
</Properties>
</file>