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74" w:rsidRDefault="00CB0174">
      <w:pPr>
        <w:pStyle w:val="GowlingsCentre"/>
      </w:pPr>
      <w:r>
        <w:t>RÉSOLUTION DU CONSEIL D’ADMINISTRATION PROVISOIRE</w:t>
      </w:r>
    </w:p>
    <w:p w:rsidR="00CB0174" w:rsidRDefault="00CB0174">
      <w:pPr>
        <w:pStyle w:val="GowlingsCentre"/>
      </w:pPr>
      <w:r>
        <w:t>DU</w:t>
      </w:r>
    </w:p>
    <w:p w:rsidR="00CB0174" w:rsidRDefault="00CB0174">
      <w:pPr>
        <w:pStyle w:val="GowlingsCentre"/>
        <w:spacing w:after="0"/>
        <w:rPr>
          <w:color w:val="000000"/>
        </w:rPr>
      </w:pPr>
      <w:r>
        <w:rPr>
          <w:color w:val="000000"/>
        </w:rPr>
        <w:t xml:space="preserve">FONDS POUR L’ACCESSIBILITÉ DE LA RADIODIFFUSION (FAR), INC. / </w:t>
      </w:r>
    </w:p>
    <w:p w:rsidR="00CB0174" w:rsidRDefault="00CB0174">
      <w:pPr>
        <w:pStyle w:val="GowlingsCentre"/>
      </w:pPr>
      <w:r w:rsidRPr="00AF1AB9">
        <w:rPr>
          <w:color w:val="000000"/>
          <w:lang w:val="en-CA"/>
        </w:rPr>
        <w:t>BROADCASTING ACCESSIBILITY FUND (BAF), INC</w:t>
      </w:r>
      <w:proofErr w:type="gramStart"/>
      <w:r w:rsidRPr="00AF1AB9">
        <w:rPr>
          <w:color w:val="000000"/>
          <w:lang w:val="en-CA"/>
        </w:rPr>
        <w:t>.</w:t>
      </w:r>
      <w:proofErr w:type="gramEnd"/>
      <w:r w:rsidRPr="00AF1AB9">
        <w:rPr>
          <w:b/>
          <w:bCs/>
          <w:color w:val="FF0000"/>
          <w:lang w:val="en-CA"/>
        </w:rPr>
        <w:br/>
      </w:r>
      <w:r>
        <w:t>(l’« Organisation »)</w:t>
      </w:r>
    </w:p>
    <w:p w:rsidR="00CB0174" w:rsidRDefault="00CB0174">
      <w:pPr>
        <w:rPr>
          <w:b/>
          <w:bCs/>
          <w:u w:val="single"/>
        </w:rPr>
      </w:pPr>
      <w:r>
        <w:rPr>
          <w:b/>
          <w:bCs/>
          <w:u w:val="single"/>
        </w:rPr>
        <w:t>RÉSOLUTION CONFIRMANT LES CRITÈRES D’ADMISSIBILITÉ DES PARTIES PRENANTES REPRÉSENTANT LES GROUPES POUR L’ACCESSIBILITÉ</w:t>
      </w:r>
    </w:p>
    <w:p w:rsidR="00CB0174" w:rsidRDefault="00CB0174"/>
    <w:p w:rsidR="00CB0174" w:rsidRDefault="00CB0174">
      <w:pPr>
        <w:ind w:firstLine="720"/>
        <w:jc w:val="both"/>
      </w:pPr>
      <w:r>
        <w:rPr>
          <w:b/>
          <w:bCs/>
        </w:rPr>
        <w:t>ATTENDU QUE</w:t>
      </w:r>
      <w:r>
        <w:t>, en vertu de l’article 30 du Règlement administratif n</w:t>
      </w:r>
      <w:r w:rsidRPr="00AF1AB9">
        <w:rPr>
          <w:vertAlign w:val="superscript"/>
        </w:rPr>
        <w:t>o</w:t>
      </w:r>
      <w:r>
        <w:t> 1 de l’Organisation, l’Organisation doit être gérée par un Conseil se composant de neuf (9) Administrateurs dont quatre (4) Administrateurs représentant les groupes pour l’accessibilité, deux (2) Administrateurs indépendants pour l’accessibilité, et trois (3) Administrateurs représentant l’industrie de la radiodiffusion;</w:t>
      </w:r>
    </w:p>
    <w:p w:rsidR="00CB0174" w:rsidRDefault="00CB0174">
      <w:pPr>
        <w:ind w:firstLine="720"/>
        <w:jc w:val="both"/>
        <w:rPr>
          <w:b/>
          <w:bCs/>
        </w:rPr>
      </w:pPr>
    </w:p>
    <w:p w:rsidR="00CB0174" w:rsidRDefault="00CB0174">
      <w:pPr>
        <w:ind w:firstLine="720"/>
        <w:jc w:val="both"/>
      </w:pPr>
      <w:r>
        <w:rPr>
          <w:b/>
          <w:bCs/>
        </w:rPr>
        <w:t>ATTENDU QUE</w:t>
      </w:r>
      <w:r>
        <w:t>, en vertu du paragraphe 30(a) du Règlement administratif n</w:t>
      </w:r>
      <w:r w:rsidRPr="00AF1AB9">
        <w:rPr>
          <w:vertAlign w:val="superscript"/>
        </w:rPr>
        <w:t>o</w:t>
      </w:r>
      <w:r>
        <w:t> 1, un (1) des quatre (4) Administrateurs représentant les groupes pour l’accessibilité doit être mis en candidature par chacune des quatre (4) Catégories de Parties prenantes représentant les groupes pour l’accessibilité, respectivement, et élu par les Membres :</w:t>
      </w:r>
    </w:p>
    <w:p w:rsidR="00CB0174" w:rsidRDefault="00CB0174">
      <w:pPr>
        <w:numPr>
          <w:ilvl w:val="0"/>
          <w:numId w:val="10"/>
        </w:numPr>
        <w:ind w:hanging="450"/>
        <w:jc w:val="both"/>
      </w:pPr>
      <w:r>
        <w:t>Catégorie de Parties prenantes représentant les groupes pour l’accessibilité composée des groupes de soutien aux personnes ayant une déficience visuelle;</w:t>
      </w:r>
    </w:p>
    <w:p w:rsidR="00CB0174" w:rsidRDefault="00CB0174">
      <w:pPr>
        <w:numPr>
          <w:ilvl w:val="0"/>
          <w:numId w:val="10"/>
        </w:numPr>
        <w:ind w:hanging="450"/>
        <w:jc w:val="both"/>
      </w:pPr>
      <w:r>
        <w:t>Catégorie de Parties prenantes représentant les groupes pour l’accessibilité composée des groupes de soutien aux personnes ayant une déficience auditive;</w:t>
      </w:r>
    </w:p>
    <w:p w:rsidR="00CB0174" w:rsidRDefault="00CB0174">
      <w:pPr>
        <w:numPr>
          <w:ilvl w:val="0"/>
          <w:numId w:val="10"/>
        </w:numPr>
        <w:ind w:hanging="450"/>
        <w:jc w:val="both"/>
      </w:pPr>
      <w:r>
        <w:t>Catégorie de Parties prenantes représentant les groupes pour l’accessibilité composée des groupes de soutien aux personnes ayant une déficience de mobilité; et</w:t>
      </w:r>
    </w:p>
    <w:p w:rsidR="00CB0174" w:rsidRDefault="00CB0174">
      <w:pPr>
        <w:numPr>
          <w:ilvl w:val="0"/>
          <w:numId w:val="10"/>
        </w:numPr>
        <w:ind w:hanging="450"/>
        <w:jc w:val="both"/>
      </w:pPr>
      <w:r>
        <w:t>Catégorie de Parties prenantes représentant les groupes pour l’accessibilité composée des groupes de soutien aux personnes ayant une déficience cognitive;</w:t>
      </w:r>
    </w:p>
    <w:p w:rsidR="00CB0174" w:rsidRDefault="00CB0174">
      <w:pPr>
        <w:ind w:firstLine="720"/>
        <w:jc w:val="both"/>
      </w:pPr>
    </w:p>
    <w:p w:rsidR="00CB0174" w:rsidRDefault="00CB0174">
      <w:pPr>
        <w:ind w:firstLine="720"/>
        <w:jc w:val="both"/>
      </w:pPr>
      <w:r>
        <w:rPr>
          <w:b/>
          <w:bCs/>
        </w:rPr>
        <w:t>ATTENDU QUE</w:t>
      </w:r>
      <w:r>
        <w:t>, en vertu du paragraphe 30(c) du Règlement administratif n</w:t>
      </w:r>
      <w:r w:rsidRPr="00AF1AB9">
        <w:rPr>
          <w:vertAlign w:val="superscript"/>
        </w:rPr>
        <w:t>o</w:t>
      </w:r>
      <w:r>
        <w:t> 1, les deux (2) Administrateurs indépendants pour l’accessibilité doivent être mis en candidature par les Parties prenantes représentant les groupes pour l’accessibilité, collectivement, et élus par les Membres;</w:t>
      </w:r>
    </w:p>
    <w:p w:rsidR="00CB0174" w:rsidRDefault="00CB0174">
      <w:pPr>
        <w:ind w:firstLine="720"/>
        <w:jc w:val="both"/>
      </w:pPr>
    </w:p>
    <w:p w:rsidR="00CB0174" w:rsidRDefault="00CB0174">
      <w:pPr>
        <w:ind w:firstLine="720"/>
        <w:jc w:val="both"/>
      </w:pPr>
      <w:r>
        <w:rPr>
          <w:b/>
          <w:bCs/>
        </w:rPr>
        <w:t>ATTENDU QUE</w:t>
      </w:r>
      <w:r>
        <w:t>, en vertu du paragraphe 30(b) du Règlement administratif n</w:t>
      </w:r>
      <w:r w:rsidRPr="00AF1AB9">
        <w:rPr>
          <w:vertAlign w:val="superscript"/>
        </w:rPr>
        <w:t>o</w:t>
      </w:r>
      <w:r>
        <w:t> 1, deux (2) Administrateurs représentant l’industrie de la radiodiffusion doivent être mis en candidature par la Catégorie de Parties prenantes représentant l’industrie de la radiodiffusion composée des entreprises de l’industrie de la radiodiffusion, et élus par les Membres, et un (1) Administrateur représentant l’industrie de la radiodiffusion doit être mis en candidature par la Catégorie de Parties prenantes représentant l’industrie de la radiodiffusion composée des entreprises de distribution de radiodiffusion (EDR), et élu par les Membres;</w:t>
      </w:r>
    </w:p>
    <w:p w:rsidR="00CB0174" w:rsidRDefault="00CB0174">
      <w:pPr>
        <w:ind w:firstLine="720"/>
        <w:jc w:val="both"/>
      </w:pPr>
    </w:p>
    <w:p w:rsidR="00CB0174" w:rsidRDefault="00CB0174">
      <w:pPr>
        <w:ind w:firstLine="720"/>
        <w:jc w:val="both"/>
      </w:pPr>
      <w:r>
        <w:rPr>
          <w:b/>
          <w:bCs/>
        </w:rPr>
        <w:t>ATTENDU QUE</w:t>
      </w:r>
      <w:r>
        <w:t>, en vertu de l’article 76 du Règlement administratif n</w:t>
      </w:r>
      <w:r w:rsidRPr="00AF1AB9">
        <w:rPr>
          <w:vertAlign w:val="superscript"/>
        </w:rPr>
        <w:t>o</w:t>
      </w:r>
      <w:r>
        <w:t> 1, le Conseil d’administration provisoire peut confirmer qu’un groupe pour l’accessibilité, un radiodiffuseur ou une EDR constitue une Partie prenante de l’Organisation dès qu’il reçoit la confirmation de la signature d’une Convention des Parties prenantes par la Partie prenante et l’Organisation;</w:t>
      </w:r>
    </w:p>
    <w:p w:rsidR="00CB0174" w:rsidRDefault="00CB0174">
      <w:pPr>
        <w:ind w:firstLine="720"/>
        <w:jc w:val="both"/>
        <w:rPr>
          <w:b/>
          <w:bCs/>
        </w:rPr>
      </w:pPr>
    </w:p>
    <w:p w:rsidR="00CB0174" w:rsidRDefault="00CB0174">
      <w:pPr>
        <w:ind w:firstLine="720"/>
        <w:jc w:val="both"/>
      </w:pPr>
      <w:r>
        <w:rPr>
          <w:b/>
          <w:bCs/>
        </w:rPr>
        <w:t>ATTENDU QUE</w:t>
      </w:r>
      <w:r>
        <w:t xml:space="preserve"> le Conseil d’administration provisoire invite les groupes pour l’accessibilité, les radiodiffuseurs et les EDR à devenir Parties prenantes de l’Organisation;</w:t>
      </w:r>
    </w:p>
    <w:p w:rsidR="00CB0174" w:rsidRDefault="00CB0174">
      <w:pPr>
        <w:ind w:firstLine="720"/>
        <w:jc w:val="both"/>
      </w:pPr>
    </w:p>
    <w:p w:rsidR="00CB0174" w:rsidRDefault="00CB0174">
      <w:pPr>
        <w:ind w:firstLine="720"/>
        <w:jc w:val="both"/>
      </w:pPr>
      <w:r>
        <w:rPr>
          <w:b/>
          <w:bCs/>
        </w:rPr>
        <w:t>ATTENDU QUE</w:t>
      </w:r>
      <w:r>
        <w:t xml:space="preserve"> le Conseil d’administration provisoire lance ces invitations d’une manière inclusive et transparente, tout en s’assurant que : (1) les Parties prenantes représentant les groupes pour l’accessibilité sont composées de groupes établis qui représentent directement un large éventail d’utilisateurs handicapés membres, conformément au paragraphe 1(b) du Règlement administratif n</w:t>
      </w:r>
      <w:r w:rsidRPr="00AF1AB9">
        <w:rPr>
          <w:vertAlign w:val="superscript"/>
        </w:rPr>
        <w:t>o</w:t>
      </w:r>
      <w:r>
        <w:t> 1, et (2) les Parties prenantes représentant l’industrie de la radiodiffusion sont composées d’entreprises de l’industrie de la radiodiffusion et d’EDR qui sont soumises à la compétence du CRTC, conformément au paragraphe 1(k) du Règlement administratif n</w:t>
      </w:r>
      <w:r w:rsidRPr="00AF1AB9">
        <w:rPr>
          <w:vertAlign w:val="superscript"/>
        </w:rPr>
        <w:t>o</w:t>
      </w:r>
      <w:r>
        <w:t> 1;</w:t>
      </w:r>
    </w:p>
    <w:p w:rsidR="00CB0174" w:rsidRDefault="00CB0174">
      <w:pPr>
        <w:ind w:firstLine="720"/>
        <w:jc w:val="both"/>
      </w:pPr>
    </w:p>
    <w:p w:rsidR="00CB0174" w:rsidRDefault="00CB0174">
      <w:pPr>
        <w:ind w:firstLine="720"/>
        <w:jc w:val="both"/>
      </w:pPr>
      <w:r>
        <w:rPr>
          <w:b/>
          <w:bCs/>
        </w:rPr>
        <w:t>ATTENDU QUE</w:t>
      </w:r>
      <w:r>
        <w:t>, en vertu de l’article 76 du Règlement administratif n</w:t>
      </w:r>
      <w:r w:rsidRPr="00AF1AB9">
        <w:rPr>
          <w:vertAlign w:val="superscript"/>
        </w:rPr>
        <w:t>o</w:t>
      </w:r>
      <w:r>
        <w:t> 1, un groupe pour l’accessibilité peut appartenir à une (1) seule Catégorie de Parties prenantes représentant les groupes pour l’accessibilité, et en vertu du paragraphe 1(k) du Règlement administratif n</w:t>
      </w:r>
      <w:r w:rsidRPr="00AF1AB9">
        <w:rPr>
          <w:vertAlign w:val="superscript"/>
        </w:rPr>
        <w:t>o</w:t>
      </w:r>
      <w:r>
        <w:t> 1, une entreprise de l’industrie de la radiodiffusion doit s’identifier comme telle ou comme une EDR;</w:t>
      </w:r>
    </w:p>
    <w:p w:rsidR="00CB0174" w:rsidRDefault="00CB0174">
      <w:pPr>
        <w:ind w:firstLine="720"/>
        <w:jc w:val="both"/>
      </w:pPr>
    </w:p>
    <w:p w:rsidR="00CB0174" w:rsidRDefault="00CB0174">
      <w:pPr>
        <w:ind w:firstLine="720"/>
        <w:jc w:val="both"/>
      </w:pPr>
      <w:r>
        <w:rPr>
          <w:b/>
          <w:bCs/>
        </w:rPr>
        <w:t>ATTENDU QUE</w:t>
      </w:r>
      <w:r>
        <w:t xml:space="preserve"> l’intention du Conseil d’administration provisoire est d’énumérer les critères en vertu desquels l’admissibilité des groupes pour l’accessibilité, des radiodiffuseurs et des EDR sera déterminée aux termes des paragraphes 1(b) et 1(k), respectivement, du Règlement administratif n</w:t>
      </w:r>
      <w:r w:rsidRPr="00AF1AB9">
        <w:rPr>
          <w:vertAlign w:val="superscript"/>
        </w:rPr>
        <w:t>o</w:t>
      </w:r>
      <w:r>
        <w:t> 1;</w:t>
      </w:r>
    </w:p>
    <w:p w:rsidR="00CB0174" w:rsidRDefault="00CB0174">
      <w:pPr>
        <w:ind w:firstLine="720"/>
        <w:jc w:val="both"/>
      </w:pPr>
    </w:p>
    <w:p w:rsidR="00CB0174" w:rsidRDefault="00CB0174">
      <w:pPr>
        <w:ind w:firstLine="720"/>
        <w:jc w:val="both"/>
      </w:pPr>
      <w:r>
        <w:rPr>
          <w:b/>
          <w:bCs/>
        </w:rPr>
        <w:t>IL EST RÉSOLU</w:t>
      </w:r>
      <w:r>
        <w:t xml:space="preserve"> que le Conseil d’administration provisoire adopte les critères suivants pour la détermination de l’admissibilité des groupes pour l’accessibilité, des radiodiffuseurs et des EDR en vue de leur confirmation en tant que Parties prenantes :</w:t>
      </w:r>
    </w:p>
    <w:p w:rsidR="00CB0174" w:rsidRDefault="00CB0174">
      <w:pPr>
        <w:ind w:firstLine="720"/>
        <w:jc w:val="both"/>
      </w:pPr>
    </w:p>
    <w:p w:rsidR="00CB0174" w:rsidRDefault="00CB0174">
      <w:pPr>
        <w:ind w:left="720" w:hanging="720"/>
        <w:jc w:val="both"/>
      </w:pPr>
      <w:r>
        <w:t>A.</w:t>
      </w:r>
      <w:r>
        <w:tab/>
        <w:t>Les Parties prenantes représentant les groupes pour l’accessibilité doivent se composer d’organisations satisfaisant les trois (3) critères suivants :</w:t>
      </w:r>
    </w:p>
    <w:p w:rsidR="00CB0174" w:rsidRDefault="00CB0174">
      <w:pPr>
        <w:ind w:left="720" w:hanging="720"/>
        <w:jc w:val="both"/>
      </w:pPr>
    </w:p>
    <w:p w:rsidR="00CB0174" w:rsidRDefault="00CB0174">
      <w:pPr>
        <w:numPr>
          <w:ilvl w:val="0"/>
          <w:numId w:val="8"/>
        </w:numPr>
        <w:ind w:firstLine="90"/>
        <w:jc w:val="both"/>
      </w:pPr>
      <w:r>
        <w:t>Une organisation doit :</w:t>
      </w:r>
    </w:p>
    <w:p w:rsidR="00CB0174" w:rsidRDefault="00CB0174">
      <w:pPr>
        <w:numPr>
          <w:ilvl w:val="1"/>
          <w:numId w:val="8"/>
        </w:numPr>
        <w:tabs>
          <w:tab w:val="left" w:pos="1800"/>
        </w:tabs>
        <w:ind w:firstLine="0"/>
        <w:jc w:val="both"/>
      </w:pPr>
      <w:r>
        <w:t>être incorporée en vertu d’une loi provinciale ou d’une loi fédérale; ou</w:t>
      </w:r>
    </w:p>
    <w:p w:rsidR="00CB0174" w:rsidRDefault="00CB0174">
      <w:pPr>
        <w:numPr>
          <w:ilvl w:val="1"/>
          <w:numId w:val="8"/>
        </w:numPr>
        <w:tabs>
          <w:tab w:val="left" w:pos="1800"/>
        </w:tabs>
        <w:ind w:firstLine="0"/>
        <w:jc w:val="both"/>
      </w:pPr>
      <w:r>
        <w:t>avoir été en existence depuis au moins un an en date du 7 août 2012, et</w:t>
      </w:r>
    </w:p>
    <w:p w:rsidR="00CB0174" w:rsidRDefault="00CB0174">
      <w:pPr>
        <w:tabs>
          <w:tab w:val="left" w:pos="1800"/>
        </w:tabs>
        <w:jc w:val="both"/>
      </w:pPr>
      <w:r>
        <w:tab/>
      </w:r>
      <w:proofErr w:type="gramStart"/>
      <w:r>
        <w:t>se</w:t>
      </w:r>
      <w:proofErr w:type="gramEnd"/>
      <w:r>
        <w:t xml:space="preserve"> composer d’au moins vingt (20) membres;</w:t>
      </w:r>
    </w:p>
    <w:p w:rsidR="00CB0174" w:rsidRDefault="00CB0174">
      <w:pPr>
        <w:numPr>
          <w:ilvl w:val="0"/>
          <w:numId w:val="8"/>
        </w:numPr>
        <w:ind w:left="1440" w:hanging="630"/>
        <w:jc w:val="both"/>
      </w:pPr>
      <w:r>
        <w:t>Une organisation doit avoir pour mandat la promotion des intérêts d’un large éventail d’utilisateurs handicapés membres en se consacrant :</w:t>
      </w:r>
    </w:p>
    <w:p w:rsidR="00CB0174" w:rsidRDefault="00CB0174">
      <w:pPr>
        <w:numPr>
          <w:ilvl w:val="1"/>
          <w:numId w:val="8"/>
        </w:numPr>
        <w:tabs>
          <w:tab w:val="left" w:pos="1800"/>
        </w:tabs>
        <w:ind w:firstLine="0"/>
        <w:jc w:val="both"/>
      </w:pPr>
      <w:r>
        <w:t>à la prestation de services;</w:t>
      </w:r>
    </w:p>
    <w:p w:rsidR="00CB0174" w:rsidRDefault="00CB0174">
      <w:pPr>
        <w:numPr>
          <w:ilvl w:val="1"/>
          <w:numId w:val="8"/>
        </w:numPr>
        <w:tabs>
          <w:tab w:val="left" w:pos="1800"/>
        </w:tabs>
        <w:ind w:firstLine="0"/>
        <w:jc w:val="both"/>
      </w:pPr>
      <w:r>
        <w:t>à la défense de leurs intérêts; ou</w:t>
      </w:r>
    </w:p>
    <w:p w:rsidR="00CB0174" w:rsidRDefault="00CB0174">
      <w:pPr>
        <w:numPr>
          <w:ilvl w:val="1"/>
          <w:numId w:val="8"/>
        </w:numPr>
        <w:tabs>
          <w:tab w:val="left" w:pos="1800"/>
        </w:tabs>
        <w:ind w:firstLine="0"/>
        <w:jc w:val="both"/>
      </w:pPr>
      <w:r>
        <w:t>à la recherche universitaire; et</w:t>
      </w:r>
    </w:p>
    <w:p w:rsidR="00CB0174" w:rsidRDefault="00CB0174">
      <w:pPr>
        <w:numPr>
          <w:ilvl w:val="0"/>
          <w:numId w:val="8"/>
        </w:numPr>
        <w:ind w:left="1440" w:hanging="630"/>
        <w:jc w:val="both"/>
      </w:pPr>
      <w:r>
        <w:t>Une organisation doit avoir identifié une (1) Catégorie de Parties prenantes représentant les groupes pour l’accessibilité à laquelle elle souhaite appartenir, qu’il s’agisse :</w:t>
      </w:r>
    </w:p>
    <w:p w:rsidR="00CB0174" w:rsidRDefault="00CB0174">
      <w:pPr>
        <w:numPr>
          <w:ilvl w:val="1"/>
          <w:numId w:val="8"/>
        </w:numPr>
        <w:tabs>
          <w:tab w:val="left" w:pos="1800"/>
        </w:tabs>
        <w:ind w:firstLine="0"/>
        <w:jc w:val="both"/>
      </w:pPr>
      <w:r>
        <w:t>des Parties prenantes représentant les groupes pour l’accessibilité des personnes ayant une déficience visuelle;</w:t>
      </w:r>
    </w:p>
    <w:p w:rsidR="00CB0174" w:rsidRDefault="00CB0174">
      <w:pPr>
        <w:numPr>
          <w:ilvl w:val="1"/>
          <w:numId w:val="8"/>
        </w:numPr>
        <w:tabs>
          <w:tab w:val="left" w:pos="1800"/>
        </w:tabs>
        <w:ind w:firstLine="0"/>
        <w:jc w:val="both"/>
      </w:pPr>
      <w:r>
        <w:t>des Parties prenantes représentant les groupes pour l’accessibilité des personnes ayant une déficience auditive;</w:t>
      </w:r>
    </w:p>
    <w:p w:rsidR="00CB0174" w:rsidRDefault="00CB0174">
      <w:pPr>
        <w:numPr>
          <w:ilvl w:val="1"/>
          <w:numId w:val="8"/>
        </w:numPr>
        <w:tabs>
          <w:tab w:val="left" w:pos="1800"/>
        </w:tabs>
        <w:ind w:firstLine="0"/>
        <w:jc w:val="both"/>
      </w:pPr>
      <w:r>
        <w:t>des Parties prenantes représentant les groupes pour l’accessibilité des personnes ayant une déficience de mobilité; ou</w:t>
      </w:r>
    </w:p>
    <w:p w:rsidR="00CB0174" w:rsidRDefault="00CB0174">
      <w:pPr>
        <w:numPr>
          <w:ilvl w:val="1"/>
          <w:numId w:val="8"/>
        </w:numPr>
        <w:tabs>
          <w:tab w:val="left" w:pos="1800"/>
        </w:tabs>
        <w:ind w:firstLine="0"/>
        <w:jc w:val="both"/>
      </w:pPr>
      <w:r>
        <w:t>des Parties prenantes représentant les groupes pour l’accessibilité des personnes ayant une déficience cognitive.</w:t>
      </w:r>
    </w:p>
    <w:p w:rsidR="00CB0174" w:rsidRDefault="00CB0174">
      <w:pPr>
        <w:ind w:left="1440" w:hanging="720"/>
        <w:jc w:val="both"/>
      </w:pPr>
    </w:p>
    <w:p w:rsidR="00CB0174" w:rsidRDefault="00CB0174">
      <w:pPr>
        <w:ind w:left="720" w:hanging="720"/>
        <w:jc w:val="both"/>
      </w:pPr>
      <w:r>
        <w:t>B.</w:t>
      </w:r>
      <w:r>
        <w:tab/>
        <w:t>Les Parties prenantes représentant l’industrie de la radiodiffusion doivent se composer d’organisations satisfaisant les deux (2) critères suivants :</w:t>
      </w:r>
    </w:p>
    <w:p w:rsidR="00CB0174" w:rsidRDefault="00CB0174">
      <w:pPr>
        <w:ind w:left="720" w:hanging="720"/>
        <w:jc w:val="both"/>
      </w:pPr>
    </w:p>
    <w:p w:rsidR="00CB0174" w:rsidRDefault="00CB0174">
      <w:pPr>
        <w:numPr>
          <w:ilvl w:val="0"/>
          <w:numId w:val="9"/>
        </w:numPr>
        <w:jc w:val="both"/>
      </w:pPr>
      <w:r>
        <w:t>Une organisation doit :</w:t>
      </w:r>
    </w:p>
    <w:p w:rsidR="00CB0174" w:rsidRDefault="00CB0174">
      <w:pPr>
        <w:numPr>
          <w:ilvl w:val="1"/>
          <w:numId w:val="9"/>
        </w:numPr>
        <w:jc w:val="both"/>
      </w:pPr>
      <w:r>
        <w:t>être une entreprise de l’industrie de la radiodiffusion qui est soumise à la réglementation ou aux conditions de licence du CRTC; ou</w:t>
      </w:r>
    </w:p>
    <w:p w:rsidR="00CB0174" w:rsidRDefault="00CB0174">
      <w:pPr>
        <w:numPr>
          <w:ilvl w:val="1"/>
          <w:numId w:val="9"/>
        </w:numPr>
        <w:jc w:val="both"/>
      </w:pPr>
      <w:r>
        <w:t>être une entreprise de distribution de radiodiffusion qui est soumise à la réglementation ou aux conditions de licence du CRTC; et</w:t>
      </w:r>
    </w:p>
    <w:p w:rsidR="00CB0174" w:rsidRDefault="00CB0174">
      <w:pPr>
        <w:numPr>
          <w:ilvl w:val="0"/>
          <w:numId w:val="9"/>
        </w:numPr>
        <w:jc w:val="both"/>
      </w:pPr>
      <w:r>
        <w:t>Une organisation doit avoir identifié à quelle Catégorie de Parties prenantes représentant l’industrie de la radiodiffusion elle appartient, qu’il s’agisse :</w:t>
      </w:r>
    </w:p>
    <w:p w:rsidR="00CB0174" w:rsidRDefault="00CB0174">
      <w:pPr>
        <w:numPr>
          <w:ilvl w:val="1"/>
          <w:numId w:val="9"/>
        </w:numPr>
        <w:jc w:val="both"/>
      </w:pPr>
      <w:r>
        <w:t>des Parties prenantes représentant les entreprises de l’industrie de la radiodiffusion; ou</w:t>
      </w:r>
    </w:p>
    <w:p w:rsidR="00CB0174" w:rsidRDefault="00CB0174">
      <w:pPr>
        <w:numPr>
          <w:ilvl w:val="1"/>
          <w:numId w:val="9"/>
        </w:numPr>
        <w:jc w:val="both"/>
      </w:pPr>
      <w:r>
        <w:t>des Parties prenantes représentant les entreprises de distribution de radiodiffusion.</w:t>
      </w:r>
    </w:p>
    <w:p w:rsidR="00CB0174" w:rsidRDefault="00CB0174">
      <w:pPr>
        <w:ind w:firstLine="720"/>
        <w:jc w:val="both"/>
      </w:pPr>
      <w:r>
        <w:t xml:space="preserve"> </w:t>
      </w:r>
    </w:p>
    <w:p w:rsidR="00CB0174" w:rsidRDefault="00CB0174">
      <w:pPr>
        <w:pStyle w:val="BodyText"/>
        <w:spacing w:after="0"/>
        <w:jc w:val="both"/>
      </w:pPr>
      <w:r>
        <w:t xml:space="preserve">Tous les premiers Administrateurs de l’Organisation consentent à la présente résolution en ce  </w:t>
      </w:r>
      <w:r>
        <w:rPr>
          <w:color w:val="000000"/>
        </w:rPr>
        <w:t xml:space="preserve">       e jour de                      201</w:t>
      </w:r>
      <w:r>
        <w:t>2.</w:t>
      </w:r>
    </w:p>
    <w:p w:rsidR="00CB0174" w:rsidRDefault="00CB0174">
      <w:pPr>
        <w:pStyle w:val="BodyText"/>
        <w:spacing w:after="0"/>
      </w:pPr>
    </w:p>
    <w:tbl>
      <w:tblPr>
        <w:tblW w:w="0" w:type="auto"/>
        <w:jc w:val="center"/>
        <w:tblLook w:val="00A0"/>
      </w:tblPr>
      <w:tblGrid>
        <w:gridCol w:w="4248"/>
        <w:gridCol w:w="450"/>
        <w:gridCol w:w="4248"/>
      </w:tblGrid>
      <w:tr w:rsidR="00CB0174">
        <w:trPr>
          <w:jc w:val="center"/>
        </w:trPr>
        <w:tc>
          <w:tcPr>
            <w:tcW w:w="4248" w:type="dxa"/>
            <w:tcBorders>
              <w:bottom w:val="single" w:sz="4" w:space="0" w:color="000000"/>
            </w:tcBorders>
          </w:tcPr>
          <w:p w:rsidR="00CB0174" w:rsidRDefault="00CB0174">
            <w:pPr>
              <w:pStyle w:val="Gowlingspara"/>
              <w:spacing w:after="0"/>
            </w:pPr>
          </w:p>
        </w:tc>
        <w:tc>
          <w:tcPr>
            <w:tcW w:w="450" w:type="dxa"/>
          </w:tcPr>
          <w:p w:rsidR="00CB0174" w:rsidRDefault="00CB0174">
            <w:pPr>
              <w:pStyle w:val="Gowlingspara"/>
              <w:spacing w:after="0"/>
            </w:pPr>
          </w:p>
        </w:tc>
        <w:tc>
          <w:tcPr>
            <w:tcW w:w="4248" w:type="dxa"/>
            <w:tcBorders>
              <w:bottom w:val="single" w:sz="4" w:space="0" w:color="000000"/>
            </w:tcBorders>
          </w:tcPr>
          <w:p w:rsidR="00CB0174" w:rsidRDefault="00CB0174">
            <w:pPr>
              <w:pStyle w:val="Gowlingspara"/>
              <w:spacing w:after="0"/>
            </w:pPr>
          </w:p>
        </w:tc>
      </w:tr>
      <w:tr w:rsidR="00CB0174">
        <w:trPr>
          <w:jc w:val="center"/>
        </w:trPr>
        <w:tc>
          <w:tcPr>
            <w:tcW w:w="4248" w:type="dxa"/>
            <w:tcBorders>
              <w:top w:val="single" w:sz="4" w:space="0" w:color="000000"/>
            </w:tcBorders>
          </w:tcPr>
          <w:p w:rsidR="00CB0174" w:rsidRDefault="00CB0174">
            <w:pPr>
              <w:pStyle w:val="Gowlingspara"/>
              <w:spacing w:after="0"/>
            </w:pPr>
          </w:p>
        </w:tc>
        <w:tc>
          <w:tcPr>
            <w:tcW w:w="450" w:type="dxa"/>
          </w:tcPr>
          <w:p w:rsidR="00CB0174" w:rsidRDefault="00CB0174">
            <w:pPr>
              <w:pStyle w:val="Gowlingspara"/>
              <w:spacing w:after="0"/>
            </w:pPr>
          </w:p>
        </w:tc>
        <w:tc>
          <w:tcPr>
            <w:tcW w:w="4248" w:type="dxa"/>
            <w:tcBorders>
              <w:top w:val="single" w:sz="4" w:space="0" w:color="000000"/>
            </w:tcBorders>
          </w:tcPr>
          <w:p w:rsidR="00CB0174" w:rsidRDefault="00CB0174">
            <w:pPr>
              <w:pStyle w:val="Gowlingspara"/>
              <w:spacing w:after="0"/>
            </w:pPr>
          </w:p>
        </w:tc>
      </w:tr>
      <w:tr w:rsidR="00CB0174">
        <w:trPr>
          <w:jc w:val="center"/>
        </w:trPr>
        <w:tc>
          <w:tcPr>
            <w:tcW w:w="4248" w:type="dxa"/>
          </w:tcPr>
          <w:p w:rsidR="00CB0174" w:rsidRDefault="00CB0174">
            <w:pPr>
              <w:pStyle w:val="Gowlingspara"/>
              <w:spacing w:after="0"/>
            </w:pPr>
          </w:p>
        </w:tc>
        <w:tc>
          <w:tcPr>
            <w:tcW w:w="450" w:type="dxa"/>
          </w:tcPr>
          <w:p w:rsidR="00CB0174" w:rsidRDefault="00CB0174">
            <w:pPr>
              <w:pStyle w:val="Gowlingspara"/>
              <w:spacing w:after="0"/>
            </w:pPr>
          </w:p>
        </w:tc>
        <w:tc>
          <w:tcPr>
            <w:tcW w:w="4248" w:type="dxa"/>
          </w:tcPr>
          <w:p w:rsidR="00CB0174" w:rsidRDefault="00CB0174">
            <w:pPr>
              <w:pStyle w:val="Gowlingspara"/>
              <w:spacing w:after="0"/>
            </w:pPr>
          </w:p>
        </w:tc>
      </w:tr>
      <w:tr w:rsidR="00CB0174">
        <w:trPr>
          <w:jc w:val="center"/>
        </w:trPr>
        <w:tc>
          <w:tcPr>
            <w:tcW w:w="4248" w:type="dxa"/>
          </w:tcPr>
          <w:p w:rsidR="00CB0174" w:rsidRDefault="00CB0174">
            <w:pPr>
              <w:pStyle w:val="Gowlingspara"/>
              <w:spacing w:after="0"/>
            </w:pPr>
          </w:p>
        </w:tc>
        <w:tc>
          <w:tcPr>
            <w:tcW w:w="450" w:type="dxa"/>
          </w:tcPr>
          <w:p w:rsidR="00CB0174" w:rsidRDefault="00CB0174">
            <w:pPr>
              <w:pStyle w:val="Gowlingspara"/>
              <w:spacing w:after="0"/>
            </w:pPr>
          </w:p>
        </w:tc>
        <w:tc>
          <w:tcPr>
            <w:tcW w:w="4248" w:type="dxa"/>
            <w:tcBorders>
              <w:bottom w:val="single" w:sz="4" w:space="0" w:color="000000"/>
            </w:tcBorders>
          </w:tcPr>
          <w:p w:rsidR="00CB0174" w:rsidRDefault="00CB0174">
            <w:pPr>
              <w:pStyle w:val="Gowlingspara"/>
              <w:spacing w:after="0"/>
            </w:pPr>
          </w:p>
        </w:tc>
      </w:tr>
      <w:tr w:rsidR="00CB0174">
        <w:trPr>
          <w:jc w:val="center"/>
        </w:trPr>
        <w:tc>
          <w:tcPr>
            <w:tcW w:w="4248" w:type="dxa"/>
          </w:tcPr>
          <w:p w:rsidR="00CB0174" w:rsidRDefault="00CB0174">
            <w:pPr>
              <w:pStyle w:val="Gowlingspara"/>
              <w:spacing w:after="0"/>
            </w:pPr>
          </w:p>
        </w:tc>
        <w:tc>
          <w:tcPr>
            <w:tcW w:w="450" w:type="dxa"/>
          </w:tcPr>
          <w:p w:rsidR="00CB0174" w:rsidRDefault="00CB0174">
            <w:pPr>
              <w:pStyle w:val="Gowlingspara"/>
              <w:spacing w:after="0"/>
            </w:pPr>
          </w:p>
        </w:tc>
        <w:tc>
          <w:tcPr>
            <w:tcW w:w="4248" w:type="dxa"/>
            <w:tcBorders>
              <w:top w:val="single" w:sz="4" w:space="0" w:color="000000"/>
            </w:tcBorders>
          </w:tcPr>
          <w:p w:rsidR="00CB0174" w:rsidRDefault="00CB0174">
            <w:pPr>
              <w:pStyle w:val="Gowlingspara"/>
              <w:spacing w:after="0"/>
            </w:pPr>
          </w:p>
        </w:tc>
      </w:tr>
    </w:tbl>
    <w:p w:rsidR="00CB0174" w:rsidRDefault="00CB0174">
      <w:pPr>
        <w:spacing w:line="200" w:lineRule="exact"/>
        <w:rPr>
          <w:b/>
          <w:bCs/>
        </w:rPr>
      </w:pPr>
    </w:p>
    <w:sectPr w:rsidR="00CB0174">
      <w:headerReference w:type="default" r:id="rId7"/>
      <w:headerReference w:type="first" r:id="rId8"/>
      <w:footerReference w:type="first" r:id="rId9"/>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2B" w:rsidRDefault="00D5372B">
      <w:r>
        <w:separator/>
      </w:r>
    </w:p>
  </w:endnote>
  <w:endnote w:type="continuationSeparator" w:id="0">
    <w:p w:rsidR="00D5372B" w:rsidRDefault="00D537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4" w:rsidRDefault="00CB0174">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2B" w:rsidRDefault="00D5372B">
      <w:r>
        <w:separator/>
      </w:r>
    </w:p>
  </w:footnote>
  <w:footnote w:type="continuationSeparator" w:id="0">
    <w:p w:rsidR="00D5372B" w:rsidRDefault="00D53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4" w:rsidRDefault="00CB0174">
    <w:pPr>
      <w:pStyle w:val="Header"/>
      <w:jc w:val="center"/>
    </w:pPr>
    <w:r>
      <w:rPr>
        <w:rStyle w:val="PageNumber"/>
      </w:rPr>
      <w:fldChar w:fldCharType="begin"/>
    </w:r>
    <w:r>
      <w:rPr>
        <w:rStyle w:val="PageNumber"/>
      </w:rPr>
      <w:instrText xml:space="preserve"> PAGE </w:instrText>
    </w:r>
    <w:r>
      <w:rPr>
        <w:rStyle w:val="PageNumber"/>
      </w:rPr>
      <w:fldChar w:fldCharType="separate"/>
    </w:r>
    <w:r w:rsidR="00957D87">
      <w:rPr>
        <w:rStyle w:val="PageNumber"/>
        <w:noProof/>
      </w:rPr>
      <w:t>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4" w:rsidRDefault="00CB0174">
    <w:pPr>
      <w:pStyle w:val="Header"/>
      <w:jc w:val="right"/>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E3E5408"/>
    <w:lvl w:ilvl="0">
      <w:start w:val="1"/>
      <w:numFmt w:val="bullet"/>
      <w:lvlText w:val=""/>
      <w:lvlJc w:val="left"/>
      <w:pPr>
        <w:tabs>
          <w:tab w:val="num" w:pos="1440"/>
        </w:tabs>
        <w:ind w:left="1440" w:hanging="360"/>
      </w:pPr>
      <w:rPr>
        <w:rFonts w:ascii="Symbol" w:hAnsi="Symbol" w:cs="Symbol" w:hint="default"/>
      </w:rPr>
    </w:lvl>
  </w:abstractNum>
  <w:abstractNum w:abstractNumId="1">
    <w:nsid w:val="165031EA"/>
    <w:multiLevelType w:val="singleLevel"/>
    <w:tmpl w:val="04090019"/>
    <w:name w:val="zzmpArticle||Article|2|4|1|4|0|41||1|0|33||1|0|32||1|0|32||1|0|32||1|0|32||1|0|32||1|0|32||1|0|32||2"/>
    <w:lvl w:ilvl="0">
      <w:start w:val="1"/>
      <w:numFmt w:val="lowerLetter"/>
      <w:lvlText w:val="(%1)"/>
      <w:lvlJc w:val="left"/>
      <w:pPr>
        <w:tabs>
          <w:tab w:val="num" w:pos="360"/>
        </w:tabs>
        <w:ind w:left="360" w:hanging="360"/>
      </w:pPr>
    </w:lvl>
  </w:abstractNum>
  <w:abstractNum w:abstractNumId="2">
    <w:nsid w:val="1C121DF6"/>
    <w:multiLevelType w:val="multilevel"/>
    <w:tmpl w:val="A238C502"/>
    <w:name w:val="zzmpArticle||Article|2|4|1|4|0|41||1|0|33||1|0|32||1|0|32||1|0|32||1|0|32||1|0|32||1|0|32||1|0|32||"/>
    <w:lvl w:ilvl="0">
      <w:start w:val="1"/>
      <w:numFmt w:val="decimal"/>
      <w:pStyle w:val="ArticleL1"/>
      <w:suff w:val="nothing"/>
      <w:lvlText w:val="Article %1"/>
      <w:lvlJc w:val="left"/>
      <w:rPr>
        <w:b/>
        <w:bCs/>
        <w:i w:val="0"/>
        <w:iCs w:val="0"/>
        <w:caps/>
        <w:strike w:val="0"/>
        <w:dstrike w:val="0"/>
        <w:outline w:val="0"/>
        <w:shadow w:val="0"/>
        <w:emboss w:val="0"/>
        <w:imprint w:val="0"/>
        <w:vanish w:val="0"/>
        <w:color w:val="auto"/>
        <w:u w:val="none"/>
        <w:effect w:val="none"/>
        <w:vertAlign w:val="baseline"/>
      </w:rPr>
    </w:lvl>
    <w:lvl w:ilvl="1">
      <w:start w:val="1"/>
      <w:numFmt w:val="decimal"/>
      <w:pStyle w:val="ArticleL2"/>
      <w:lvlText w:val="%1.%2"/>
      <w:lvlJc w:val="left"/>
      <w:pPr>
        <w:tabs>
          <w:tab w:val="num" w:pos="720"/>
        </w:tabs>
        <w:ind w:left="720" w:hanging="720"/>
      </w:pPr>
      <w:rPr>
        <w:b/>
        <w:bCs/>
        <w:i w:val="0"/>
        <w:iCs w:val="0"/>
        <w:caps w:val="0"/>
        <w:smallCaps w:val="0"/>
        <w:strike w:val="0"/>
        <w:dstrike w:val="0"/>
        <w:outline w:val="0"/>
        <w:shadow w:val="0"/>
        <w:emboss w:val="0"/>
        <w:imprint w:val="0"/>
        <w:vanish w:val="0"/>
        <w:color w:val="auto"/>
        <w:u w:val="none"/>
        <w:effect w:val="none"/>
        <w:vertAlign w:val="baseline"/>
      </w:rPr>
    </w:lvl>
    <w:lvl w:ilvl="2">
      <w:start w:val="1"/>
      <w:numFmt w:val="lowerLetter"/>
      <w:pStyle w:val="ArticleL3"/>
      <w:lvlText w:val="(%3)"/>
      <w:lvlJc w:val="left"/>
      <w:pPr>
        <w:tabs>
          <w:tab w:val="num" w:pos="1440"/>
        </w:tabs>
        <w:ind w:left="1440" w:hanging="72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u w:val="none"/>
        <w:effect w:val="none"/>
        <w:vertAlign w:val="baseline"/>
      </w:rPr>
    </w:lvl>
    <w:lvl w:ilvl="3">
      <w:start w:val="1"/>
      <w:numFmt w:val="lowerRoman"/>
      <w:pStyle w:val="ArticleL4"/>
      <w:lvlText w:val="(%4)"/>
      <w:lvlJc w:val="left"/>
      <w:pPr>
        <w:tabs>
          <w:tab w:val="num" w:pos="2160"/>
        </w:tabs>
        <w:ind w:left="2160" w:hanging="720"/>
      </w:pPr>
      <w:rPr>
        <w:b w:val="0"/>
        <w:bCs w:val="0"/>
        <w:i w:val="0"/>
        <w:iCs w:val="0"/>
        <w:caps w:val="0"/>
        <w:smallCaps w:val="0"/>
        <w:strike w:val="0"/>
        <w:dstrike w:val="0"/>
        <w:outline w:val="0"/>
        <w:shadow w:val="0"/>
        <w:emboss w:val="0"/>
        <w:imprint w:val="0"/>
        <w:vanish w:val="0"/>
        <w:color w:val="auto"/>
        <w:u w:val="none"/>
        <w:effect w:val="none"/>
        <w:vertAlign w:val="baseline"/>
      </w:rPr>
    </w:lvl>
    <w:lvl w:ilvl="4">
      <w:start w:val="1"/>
      <w:numFmt w:val="upperLetter"/>
      <w:pStyle w:val="ArticleL5"/>
      <w:lvlText w:val="(%5)"/>
      <w:lvlJc w:val="left"/>
      <w:pPr>
        <w:tabs>
          <w:tab w:val="num" w:pos="2880"/>
        </w:tabs>
        <w:ind w:left="2880" w:hanging="720"/>
      </w:pPr>
      <w:rPr>
        <w:b w:val="0"/>
        <w:bCs w:val="0"/>
        <w:i w:val="0"/>
        <w:iCs w:val="0"/>
        <w:caps w:val="0"/>
        <w:smallCaps w:val="0"/>
        <w:strike w:val="0"/>
        <w:dstrike w:val="0"/>
        <w:outline w:val="0"/>
        <w:shadow w:val="0"/>
        <w:emboss w:val="0"/>
        <w:imprint w:val="0"/>
        <w:vanish w:val="0"/>
        <w:color w:val="auto"/>
        <w:u w:val="none"/>
        <w:effect w:val="none"/>
        <w:vertAlign w:val="baseline"/>
      </w:rPr>
    </w:lvl>
    <w:lvl w:ilvl="5">
      <w:start w:val="1"/>
      <w:numFmt w:val="decimal"/>
      <w:pStyle w:val="ArticleL6"/>
      <w:lvlText w:val="(%6)"/>
      <w:lvlJc w:val="left"/>
      <w:pPr>
        <w:tabs>
          <w:tab w:val="num" w:pos="3600"/>
        </w:tabs>
        <w:ind w:left="3600" w:hanging="720"/>
      </w:pPr>
      <w:rPr>
        <w:b w:val="0"/>
        <w:bCs w:val="0"/>
        <w:i w:val="0"/>
        <w:iCs w:val="0"/>
        <w:caps w:val="0"/>
        <w:smallCaps w:val="0"/>
        <w:strike w:val="0"/>
        <w:dstrike w:val="0"/>
        <w:outline w:val="0"/>
        <w:shadow w:val="0"/>
        <w:emboss w:val="0"/>
        <w:imprint w:val="0"/>
        <w:vanish w:val="0"/>
        <w:color w:val="auto"/>
        <w:u w:val="none"/>
        <w:effect w:val="none"/>
        <w:vertAlign w:val="baseline"/>
      </w:rPr>
    </w:lvl>
    <w:lvl w:ilvl="6">
      <w:start w:val="1"/>
      <w:numFmt w:val="upperLetter"/>
      <w:pStyle w:val="ArticleL7"/>
      <w:lvlText w:val="%7."/>
      <w:lvlJc w:val="left"/>
      <w:pPr>
        <w:tabs>
          <w:tab w:val="num" w:pos="4320"/>
        </w:tabs>
        <w:ind w:left="4320" w:hanging="720"/>
      </w:pPr>
      <w:rPr>
        <w:b w:val="0"/>
        <w:bCs w:val="0"/>
        <w:i w:val="0"/>
        <w:iCs w:val="0"/>
        <w:caps w:val="0"/>
        <w:smallCaps w:val="0"/>
        <w:strike w:val="0"/>
        <w:dstrike w:val="0"/>
        <w:outline w:val="0"/>
        <w:shadow w:val="0"/>
        <w:emboss w:val="0"/>
        <w:imprint w:val="0"/>
        <w:vanish w:val="0"/>
        <w:color w:val="auto"/>
        <w:u w:val="none"/>
        <w:effect w:val="none"/>
        <w:vertAlign w:val="baseline"/>
      </w:rPr>
    </w:lvl>
    <w:lvl w:ilvl="7">
      <w:start w:val="1"/>
      <w:numFmt w:val="upperRoman"/>
      <w:pStyle w:val="ArticleL8"/>
      <w:lvlText w:val="%8."/>
      <w:lvlJc w:val="left"/>
      <w:pPr>
        <w:tabs>
          <w:tab w:val="num" w:pos="5040"/>
        </w:tabs>
        <w:ind w:left="5040" w:hanging="720"/>
      </w:pPr>
      <w:rPr>
        <w:b w:val="0"/>
        <w:bCs w:val="0"/>
        <w:i w:val="0"/>
        <w:iCs w:val="0"/>
        <w:caps w:val="0"/>
        <w:smallCaps w:val="0"/>
        <w:strike w:val="0"/>
        <w:dstrike w:val="0"/>
        <w:outline w:val="0"/>
        <w:shadow w:val="0"/>
        <w:emboss w:val="0"/>
        <w:imprint w:val="0"/>
        <w:vanish w:val="0"/>
        <w:color w:val="auto"/>
        <w:u w:val="none"/>
        <w:effect w:val="none"/>
        <w:vertAlign w:val="baseline"/>
      </w:rPr>
    </w:lvl>
    <w:lvl w:ilvl="8">
      <w:start w:val="1"/>
      <w:numFmt w:val="lowerLetter"/>
      <w:pStyle w:val="ArticleL9"/>
      <w:lvlText w:val="%9."/>
      <w:lvlJc w:val="left"/>
      <w:pPr>
        <w:tabs>
          <w:tab w:val="num" w:pos="5760"/>
        </w:tabs>
        <w:ind w:left="5760" w:hanging="720"/>
      </w:pPr>
      <w:rPr>
        <w:b w:val="0"/>
        <w:bCs w:val="0"/>
        <w:i w:val="0"/>
        <w:iCs w:val="0"/>
        <w:caps w:val="0"/>
        <w:smallCaps w:val="0"/>
        <w:strike w:val="0"/>
        <w:dstrike w:val="0"/>
        <w:outline w:val="0"/>
        <w:shadow w:val="0"/>
        <w:emboss w:val="0"/>
        <w:imprint w:val="0"/>
        <w:vanish w:val="0"/>
        <w:color w:val="auto"/>
        <w:u w:val="none"/>
        <w:effect w:val="none"/>
        <w:vertAlign w:val="baseline"/>
      </w:rPr>
    </w:lvl>
  </w:abstractNum>
  <w:abstractNum w:abstractNumId="3">
    <w:nsid w:val="1EB237B8"/>
    <w:multiLevelType w:val="singleLevel"/>
    <w:tmpl w:val="04090019"/>
    <w:name w:val="zzmpArticle||Article|2|4|1|4|0|41||1|0|33||1|0|32||1|0|32||1|0|32||1|0|32||1|0|32||1|0|32||1|0|32||22"/>
    <w:lvl w:ilvl="0">
      <w:start w:val="1"/>
      <w:numFmt w:val="lowerLetter"/>
      <w:lvlText w:val="(%1)"/>
      <w:lvlJc w:val="left"/>
      <w:pPr>
        <w:tabs>
          <w:tab w:val="num" w:pos="360"/>
        </w:tabs>
        <w:ind w:left="360" w:hanging="360"/>
      </w:pPr>
    </w:lvl>
  </w:abstractNum>
  <w:abstractNum w:abstractNumId="4">
    <w:nsid w:val="1F9126DC"/>
    <w:multiLevelType w:val="hybridMultilevel"/>
    <w:tmpl w:val="B0A684A2"/>
    <w:lvl w:ilvl="0" w:tplc="ACC81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E72C2"/>
    <w:multiLevelType w:val="multilevel"/>
    <w:tmpl w:val="470275B8"/>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b w:val="0"/>
        <w:bCs w:val="0"/>
        <w:i w:val="0"/>
        <w:iCs w:val="0"/>
      </w:rPr>
    </w:lvl>
    <w:lvl w:ilvl="4">
      <w:start w:val="1"/>
      <w:numFmt w:val="decimal"/>
      <w:lvlText w:val="%1.%2.%3.%4.%5."/>
      <w:lvlJc w:val="left"/>
      <w:pPr>
        <w:tabs>
          <w:tab w:val="num" w:pos="3240"/>
        </w:tabs>
        <w:ind w:left="216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09F63F8"/>
    <w:multiLevelType w:val="multilevel"/>
    <w:tmpl w:val="E450632C"/>
    <w:name w:val="zzmpStandard||Standard|2|3|1|1|0|32||1|0|32||1|0|32||1|0|32||1|0|32||1|0|32||1|0|32||1|0|32||1|0|32||"/>
    <w:lvl w:ilvl="0">
      <w:start w:val="1"/>
      <w:numFmt w:val="decimal"/>
      <w:pStyle w:val="StandardL1"/>
      <w:lvlText w:val="%1."/>
      <w:lvlJc w:val="left"/>
      <w:pPr>
        <w:tabs>
          <w:tab w:val="num" w:pos="720"/>
        </w:tabs>
        <w:ind w:left="720" w:hanging="720"/>
      </w:pPr>
      <w:rPr>
        <w:rFonts w:hint="default"/>
        <w:b w:val="0"/>
        <w:bCs w:val="0"/>
        <w:i w:val="0"/>
        <w:iCs w:val="0"/>
        <w:caps/>
        <w:smallCaps w:val="0"/>
        <w:strike w:val="0"/>
        <w:dstrike w:val="0"/>
        <w:outline w:val="0"/>
        <w:shadow w:val="0"/>
        <w:emboss w:val="0"/>
        <w:imprint w:val="0"/>
        <w:vanish w:val="0"/>
        <w:color w:val="auto"/>
        <w:u w:val="none"/>
        <w:effect w:val="none"/>
        <w:vertAlign w:val="baseline"/>
      </w:rPr>
    </w:lvl>
    <w:lvl w:ilvl="1">
      <w:start w:val="1"/>
      <w:numFmt w:val="lowerLetter"/>
      <w:pStyle w:val="StandardL2"/>
      <w:lvlText w:val="(%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2">
      <w:start w:val="1"/>
      <w:numFmt w:val="lowerRoman"/>
      <w:pStyle w:val="StandardL3"/>
      <w:lvlText w:val="(%3)"/>
      <w:lvlJc w:val="left"/>
      <w:pPr>
        <w:tabs>
          <w:tab w:val="num" w:pos="2160"/>
        </w:tabs>
        <w:ind w:left="216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4">
      <w:start w:val="1"/>
      <w:numFmt w:val="decimal"/>
      <w:pStyle w:val="StandardL5"/>
      <w:lvlText w:val="(%5)"/>
      <w:lvlJc w:val="left"/>
      <w:pPr>
        <w:tabs>
          <w:tab w:val="num" w:pos="3600"/>
        </w:tabs>
        <w:ind w:left="360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5">
      <w:start w:val="1"/>
      <w:numFmt w:val="upperLetter"/>
      <w:pStyle w:val="StandardL6"/>
      <w:lvlText w:val="%6."/>
      <w:lvlJc w:val="left"/>
      <w:pPr>
        <w:tabs>
          <w:tab w:val="num" w:pos="4320"/>
        </w:tabs>
        <w:ind w:left="432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6">
      <w:start w:val="1"/>
      <w:numFmt w:val="upperRoman"/>
      <w:pStyle w:val="StandardL7"/>
      <w:lvlText w:val="%7."/>
      <w:lvlJc w:val="left"/>
      <w:pPr>
        <w:tabs>
          <w:tab w:val="num" w:pos="5040"/>
        </w:tabs>
        <w:ind w:left="504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7">
      <w:start w:val="1"/>
      <w:numFmt w:val="lowerLetter"/>
      <w:pStyle w:val="StandardL8"/>
      <w:lvlText w:val="%8)"/>
      <w:lvlJc w:val="left"/>
      <w:pPr>
        <w:tabs>
          <w:tab w:val="num" w:pos="5760"/>
        </w:tabs>
        <w:ind w:left="576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8">
      <w:start w:val="1"/>
      <w:numFmt w:val="lowerRoman"/>
      <w:pStyle w:val="StandardL9"/>
      <w:lvlText w:val="%9)"/>
      <w:lvlJc w:val="left"/>
      <w:pPr>
        <w:tabs>
          <w:tab w:val="num" w:pos="6480"/>
        </w:tabs>
        <w:ind w:left="648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abstractNum>
  <w:abstractNum w:abstractNumId="7">
    <w:nsid w:val="4D9A579C"/>
    <w:multiLevelType w:val="multilevel"/>
    <w:tmpl w:val="89120A5E"/>
    <w:lvl w:ilvl="0">
      <w:start w:val="1"/>
      <w:numFmt w:val="decimal"/>
      <w:pStyle w:val="MT1"/>
      <w:lvlText w:val="%1."/>
      <w:lvlJc w:val="left"/>
      <w:pPr>
        <w:tabs>
          <w:tab w:val="num" w:pos="0"/>
        </w:tabs>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8">
    <w:nsid w:val="52FF548D"/>
    <w:multiLevelType w:val="hybridMultilevel"/>
    <w:tmpl w:val="E1F6556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nsid w:val="636A23B6"/>
    <w:multiLevelType w:val="hybridMultilevel"/>
    <w:tmpl w:val="4470F128"/>
    <w:lvl w:ilvl="0" w:tplc="646C2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CD2789"/>
    <w:multiLevelType w:val="singleLevel"/>
    <w:tmpl w:val="F59AB00C"/>
    <w:lvl w:ilvl="0">
      <w:start w:val="1"/>
      <w:numFmt w:val="bullet"/>
      <w:pStyle w:val="DWPVBulletlist1"/>
      <w:lvlText w:val=""/>
      <w:lvlJc w:val="left"/>
      <w:pPr>
        <w:tabs>
          <w:tab w:val="num" w:pos="360"/>
        </w:tabs>
        <w:ind w:left="360" w:hanging="360"/>
      </w:pPr>
      <w:rPr>
        <w:rFonts w:ascii="Symbol" w:hAnsi="Symbol" w:cs="Symbol" w:hint="default"/>
        <w:b w:val="0"/>
        <w:bCs w:val="0"/>
        <w:i w:val="0"/>
        <w:iCs w:val="0"/>
        <w:sz w:val="24"/>
        <w:szCs w:val="24"/>
      </w:rPr>
    </w:lvl>
  </w:abstractNum>
  <w:abstractNum w:abstractNumId="11">
    <w:nsid w:val="7A462D02"/>
    <w:multiLevelType w:val="hybridMultilevel"/>
    <w:tmpl w:val="013CA8D8"/>
    <w:lvl w:ilvl="0" w:tplc="FDAC35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10"/>
  </w:num>
  <w:num w:numId="6">
    <w:abstractNumId w:val="0"/>
  </w:num>
  <w:num w:numId="7">
    <w:abstractNumId w:val="4"/>
  </w:num>
  <w:num w:numId="8">
    <w:abstractNumId w:val="11"/>
  </w:num>
  <w:num w:numId="9">
    <w:abstractNumId w:val="9"/>
  </w:num>
  <w:num w:numId="10">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grammar="clean"/>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85TrailerDate" w:val="0"/>
    <w:docVar w:name="85TrailerDateField" w:val="0"/>
    <w:docVar w:name="85TrailerDraft" w:val="0"/>
    <w:docVar w:name="85TrailerFileNumber" w:val="1"/>
    <w:docVar w:name="85TrailerTime" w:val="0"/>
    <w:docVar w:name="85TrailerType" w:val="102"/>
    <w:docVar w:name="MPDocID" w:val="C:\Users\mccormin\Desktop\BAF - Resolution of Provisional Board - Eligibility Criteria for Stakeholders.doc"/>
    <w:docVar w:name="MPDocIDTemplate" w:val="%l\ |%n|\%v"/>
    <w:docVar w:name="MPDocIDTemplateDefault" w:val="%l\ |%n|\%v"/>
    <w:docVar w:name="NewDocStampType" w:val="7"/>
  </w:docVars>
  <w:rsids>
    <w:rsidRoot w:val="004951BF"/>
    <w:rsid w:val="00000DBB"/>
    <w:rsid w:val="00001F38"/>
    <w:rsid w:val="00030AFF"/>
    <w:rsid w:val="000A2EC3"/>
    <w:rsid w:val="000E53C3"/>
    <w:rsid w:val="000F73C0"/>
    <w:rsid w:val="00141C7A"/>
    <w:rsid w:val="00180CEB"/>
    <w:rsid w:val="001838B0"/>
    <w:rsid w:val="001940E2"/>
    <w:rsid w:val="001E1BC1"/>
    <w:rsid w:val="00221508"/>
    <w:rsid w:val="00227909"/>
    <w:rsid w:val="0027029E"/>
    <w:rsid w:val="002E0CA5"/>
    <w:rsid w:val="00320355"/>
    <w:rsid w:val="00325F38"/>
    <w:rsid w:val="0036142E"/>
    <w:rsid w:val="003764C2"/>
    <w:rsid w:val="003B24DE"/>
    <w:rsid w:val="003B3F44"/>
    <w:rsid w:val="003D42FF"/>
    <w:rsid w:val="003D6356"/>
    <w:rsid w:val="003F70B3"/>
    <w:rsid w:val="00405872"/>
    <w:rsid w:val="00410DF8"/>
    <w:rsid w:val="004348BA"/>
    <w:rsid w:val="004511C1"/>
    <w:rsid w:val="004951BF"/>
    <w:rsid w:val="004C7C5D"/>
    <w:rsid w:val="004E79F5"/>
    <w:rsid w:val="004F2B4E"/>
    <w:rsid w:val="005434B2"/>
    <w:rsid w:val="00553081"/>
    <w:rsid w:val="005A2EC5"/>
    <w:rsid w:val="005C127A"/>
    <w:rsid w:val="005C6960"/>
    <w:rsid w:val="006326FE"/>
    <w:rsid w:val="00642E42"/>
    <w:rsid w:val="006540C9"/>
    <w:rsid w:val="006C7E3F"/>
    <w:rsid w:val="006F1E94"/>
    <w:rsid w:val="00723F87"/>
    <w:rsid w:val="00726AA1"/>
    <w:rsid w:val="00726CC9"/>
    <w:rsid w:val="00736F88"/>
    <w:rsid w:val="00797661"/>
    <w:rsid w:val="007C542D"/>
    <w:rsid w:val="0081489B"/>
    <w:rsid w:val="00844E27"/>
    <w:rsid w:val="00903972"/>
    <w:rsid w:val="00915264"/>
    <w:rsid w:val="00925543"/>
    <w:rsid w:val="00933D2F"/>
    <w:rsid w:val="00957D87"/>
    <w:rsid w:val="009D7181"/>
    <w:rsid w:val="00A74604"/>
    <w:rsid w:val="00A8111E"/>
    <w:rsid w:val="00AB1035"/>
    <w:rsid w:val="00AF1AB9"/>
    <w:rsid w:val="00B12BF3"/>
    <w:rsid w:val="00B2602A"/>
    <w:rsid w:val="00B40FF7"/>
    <w:rsid w:val="00B6189D"/>
    <w:rsid w:val="00B7009B"/>
    <w:rsid w:val="00B97C4E"/>
    <w:rsid w:val="00BE0DA7"/>
    <w:rsid w:val="00BE6E73"/>
    <w:rsid w:val="00C26FF0"/>
    <w:rsid w:val="00C76C2F"/>
    <w:rsid w:val="00C94138"/>
    <w:rsid w:val="00CB0174"/>
    <w:rsid w:val="00CF7406"/>
    <w:rsid w:val="00D32F03"/>
    <w:rsid w:val="00D5372B"/>
    <w:rsid w:val="00D62550"/>
    <w:rsid w:val="00E170D1"/>
    <w:rsid w:val="00E17FCF"/>
    <w:rsid w:val="00E271AB"/>
    <w:rsid w:val="00E5058E"/>
    <w:rsid w:val="00E550BD"/>
    <w:rsid w:val="00E71D8B"/>
    <w:rsid w:val="00EC24EC"/>
    <w:rsid w:val="00ED4572"/>
    <w:rsid w:val="00F33FC7"/>
    <w:rsid w:val="00F61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CA" w:eastAsia="ja-JP"/>
    </w:rPr>
  </w:style>
  <w:style w:type="paragraph" w:styleId="Heading1">
    <w:name w:val="heading 1"/>
    <w:basedOn w:val="Normal"/>
    <w:next w:val="BodyText"/>
    <w:qFormat/>
    <w:pPr>
      <w:keepNext/>
      <w:numPr>
        <w:numId w:val="3"/>
      </w:numPr>
      <w:overflowPunct w:val="0"/>
      <w:autoSpaceDE w:val="0"/>
      <w:autoSpaceDN w:val="0"/>
      <w:adjustRightInd w:val="0"/>
      <w:spacing w:after="240"/>
      <w:jc w:val="both"/>
      <w:textAlignment w:val="baseline"/>
      <w:outlineLvl w:val="0"/>
    </w:pPr>
    <w:rPr>
      <w:b/>
      <w:bCs/>
      <w:u w:val="single"/>
    </w:rPr>
  </w:style>
  <w:style w:type="paragraph" w:styleId="Heading2">
    <w:name w:val="heading 2"/>
    <w:basedOn w:val="Normal"/>
    <w:next w:val="BodyText"/>
    <w:qFormat/>
    <w:pPr>
      <w:keepNext/>
      <w:numPr>
        <w:ilvl w:val="1"/>
        <w:numId w:val="3"/>
      </w:numPr>
      <w:overflowPunct w:val="0"/>
      <w:autoSpaceDE w:val="0"/>
      <w:autoSpaceDN w:val="0"/>
      <w:adjustRightInd w:val="0"/>
      <w:spacing w:after="240"/>
      <w:jc w:val="both"/>
      <w:textAlignment w:val="baseline"/>
      <w:outlineLvl w:val="1"/>
    </w:pPr>
  </w:style>
  <w:style w:type="paragraph" w:styleId="Heading3">
    <w:name w:val="heading 3"/>
    <w:basedOn w:val="Normal"/>
    <w:next w:val="BodyText"/>
    <w:qFormat/>
    <w:pPr>
      <w:numPr>
        <w:ilvl w:val="2"/>
        <w:numId w:val="3"/>
      </w:numPr>
      <w:overflowPunct w:val="0"/>
      <w:autoSpaceDE w:val="0"/>
      <w:autoSpaceDN w:val="0"/>
      <w:adjustRightInd w:val="0"/>
      <w:spacing w:after="240"/>
      <w:jc w:val="both"/>
      <w:textAlignment w:val="baseline"/>
      <w:outlineLvl w:val="2"/>
    </w:pPr>
  </w:style>
  <w:style w:type="paragraph" w:styleId="Heading4">
    <w:name w:val="heading 4"/>
    <w:basedOn w:val="Normal"/>
    <w:next w:val="BodyText"/>
    <w:qFormat/>
    <w:pPr>
      <w:keepNext/>
      <w:numPr>
        <w:ilvl w:val="3"/>
        <w:numId w:val="3"/>
      </w:numPr>
      <w:overflowPunct w:val="0"/>
      <w:autoSpaceDE w:val="0"/>
      <w:autoSpaceDN w:val="0"/>
      <w:adjustRightInd w:val="0"/>
      <w:spacing w:after="240"/>
      <w:textAlignment w:val="baseline"/>
      <w:outlineLvl w:val="3"/>
    </w:pPr>
  </w:style>
  <w:style w:type="paragraph" w:styleId="Heading5">
    <w:name w:val="heading 5"/>
    <w:basedOn w:val="Normal"/>
    <w:next w:val="Normal"/>
    <w:qFormat/>
    <w:pPr>
      <w:keepNext/>
      <w:outlineLvl w:val="4"/>
    </w:pPr>
    <w:rPr>
      <w:b/>
      <w:bC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character" w:customStyle="1" w:styleId="DocId">
    <w:name w:val="DocId"/>
    <w:basedOn w:val="DefaultParagraphFont"/>
    <w:rPr>
      <w:sz w:val="12"/>
      <w:szCs w:val="12"/>
    </w:rPr>
  </w:style>
  <w:style w:type="paragraph" w:styleId="EnvelopeAddress">
    <w:name w:val="envelope address"/>
    <w:basedOn w:val="Normal"/>
    <w:pPr>
      <w:framePr w:w="7920" w:h="2592" w:hRule="exact" w:hSpace="187" w:vSpace="187" w:wrap="around" w:hAnchor="page" w:xAlign="center" w:yAlign="bottom"/>
      <w:ind w:left="2880"/>
    </w:pPr>
  </w:style>
  <w:style w:type="paragraph" w:styleId="Footer">
    <w:name w:val="footer"/>
    <w:basedOn w:val="Normal"/>
    <w:pPr>
      <w:tabs>
        <w:tab w:val="center" w:pos="4680"/>
        <w:tab w:val="right" w:pos="9360"/>
      </w:tabs>
    </w:pPr>
    <w:rPr>
      <w:sz w:val="12"/>
      <w:szCs w:val="12"/>
    </w:rPr>
  </w:style>
  <w:style w:type="character" w:styleId="FootnoteReference">
    <w:name w:val="footnote reference"/>
    <w:basedOn w:val="DefaultParagraphFont"/>
    <w:rPr>
      <w:sz w:val="20"/>
      <w:szCs w:val="20"/>
      <w:vertAlign w:val="superscript"/>
    </w:rPr>
  </w:style>
  <w:style w:type="paragraph" w:styleId="FootnoteText">
    <w:name w:val="footnote text"/>
    <w:basedOn w:val="Normal"/>
    <w:pPr>
      <w:spacing w:after="200"/>
      <w:ind w:left="360" w:hanging="360"/>
      <w:jc w:val="both"/>
    </w:pPr>
    <w:rPr>
      <w:sz w:val="20"/>
      <w:szCs w:val="20"/>
    </w:rPr>
  </w:style>
  <w:style w:type="paragraph" w:styleId="Header">
    <w:name w:val="header"/>
    <w:basedOn w:val="Normal"/>
    <w:pPr>
      <w:tabs>
        <w:tab w:val="center" w:pos="4680"/>
        <w:tab w:val="right" w:pos="9360"/>
      </w:tabs>
    </w:pPr>
  </w:style>
  <w:style w:type="paragraph" w:customStyle="1" w:styleId="Gowlingspara">
    <w:name w:val="Gowlings_para"/>
    <w:aliases w:val="P,p"/>
    <w:basedOn w:val="Normal"/>
    <w:pPr>
      <w:spacing w:after="240"/>
      <w:jc w:val="both"/>
    </w:pPr>
  </w:style>
  <w:style w:type="paragraph" w:customStyle="1" w:styleId="GowlingsHanging">
    <w:name w:val="Gowlings_Hanging"/>
    <w:aliases w:val="H"/>
    <w:basedOn w:val="Gowlingspara"/>
    <w:pPr>
      <w:ind w:left="720" w:hanging="720"/>
    </w:pPr>
  </w:style>
  <w:style w:type="paragraph" w:customStyle="1" w:styleId="GowlingsCentre">
    <w:name w:val="Gowlings_Centre"/>
    <w:aliases w:val="C"/>
    <w:basedOn w:val="Gowlingspara"/>
    <w:pPr>
      <w:jc w:val="center"/>
    </w:pPr>
  </w:style>
  <w:style w:type="paragraph" w:customStyle="1" w:styleId="GowlingsLeft">
    <w:name w:val="Gowlings_Left"/>
    <w:aliases w:val="L"/>
    <w:basedOn w:val="Gowlingspara"/>
    <w:pPr>
      <w:jc w:val="left"/>
    </w:pPr>
  </w:style>
  <w:style w:type="paragraph" w:customStyle="1" w:styleId="GowlingsLR">
    <w:name w:val="Gowlings_LR"/>
    <w:aliases w:val="LR"/>
    <w:basedOn w:val="Gowlingspara"/>
    <w:pPr>
      <w:ind w:left="720" w:right="720"/>
    </w:pPr>
  </w:style>
  <w:style w:type="paragraph" w:customStyle="1" w:styleId="GowlingsLR2">
    <w:name w:val="Gowlings_LR2"/>
    <w:aliases w:val="LR2"/>
    <w:basedOn w:val="Gowlingspara"/>
    <w:pPr>
      <w:ind w:left="1440" w:right="1440"/>
    </w:pPr>
  </w:style>
  <w:style w:type="paragraph" w:customStyle="1" w:styleId="GowlingsMainHeading">
    <w:name w:val="Gowlings_MainHeading"/>
    <w:aliases w:val="OMH"/>
    <w:basedOn w:val="Gowlingspara"/>
    <w:next w:val="Gowlingspara"/>
    <w:pPr>
      <w:keepNext/>
      <w:keepLines/>
      <w:spacing w:before="120"/>
      <w:jc w:val="center"/>
      <w:outlineLvl w:val="0"/>
    </w:pPr>
    <w:rPr>
      <w:rFonts w:ascii="Times New Roman Bold" w:hAnsi="Times New Roman Bold" w:cs="Times New Roman Bold"/>
      <w:b/>
      <w:bCs/>
      <w:caps/>
      <w:u w:val="single"/>
    </w:rPr>
  </w:style>
  <w:style w:type="paragraph" w:customStyle="1" w:styleId="Gowlingspara1">
    <w:name w:val="Gowlings_para1"/>
    <w:aliases w:val="1"/>
    <w:basedOn w:val="Gowlingspara"/>
    <w:pPr>
      <w:ind w:left="720"/>
    </w:pPr>
  </w:style>
  <w:style w:type="paragraph" w:customStyle="1" w:styleId="Gowlingspara2">
    <w:name w:val="Gowlings_para2"/>
    <w:aliases w:val="2"/>
    <w:basedOn w:val="Gowlingspara"/>
    <w:pPr>
      <w:ind w:left="1440"/>
    </w:pPr>
  </w:style>
  <w:style w:type="paragraph" w:customStyle="1" w:styleId="Gowlingspara3">
    <w:name w:val="Gowlings_para3"/>
    <w:aliases w:val="3"/>
    <w:basedOn w:val="Gowlingspara"/>
    <w:pPr>
      <w:ind w:left="2160"/>
    </w:pPr>
  </w:style>
  <w:style w:type="paragraph" w:customStyle="1" w:styleId="Gowlingspara4">
    <w:name w:val="Gowlings_para4"/>
    <w:aliases w:val="4"/>
    <w:basedOn w:val="Gowlingspara"/>
    <w:pPr>
      <w:ind w:left="2880"/>
    </w:pPr>
  </w:style>
  <w:style w:type="paragraph" w:customStyle="1" w:styleId="Gowlingspara5">
    <w:name w:val="Gowlings_para5"/>
    <w:aliases w:val="5"/>
    <w:basedOn w:val="Gowlingspara"/>
    <w:pPr>
      <w:ind w:left="3600"/>
    </w:pPr>
  </w:style>
  <w:style w:type="paragraph" w:customStyle="1" w:styleId="GowlingsPlain">
    <w:name w:val="Gowlings_Plain"/>
    <w:basedOn w:val="Normal"/>
  </w:style>
  <w:style w:type="paragraph" w:customStyle="1" w:styleId="GowlingsQuote">
    <w:name w:val="Gowlings_Quote"/>
    <w:aliases w:val="Q"/>
    <w:basedOn w:val="Normal"/>
    <w:pPr>
      <w:spacing w:after="240"/>
      <w:ind w:left="1440" w:right="1440"/>
      <w:jc w:val="both"/>
    </w:pPr>
    <w:rPr>
      <w:sz w:val="20"/>
      <w:szCs w:val="20"/>
    </w:rPr>
  </w:style>
  <w:style w:type="paragraph" w:customStyle="1" w:styleId="GowlingsReference">
    <w:name w:val="Gowlings_Reference"/>
    <w:aliases w:val="Ref"/>
    <w:basedOn w:val="GowlingsQuote"/>
    <w:rPr>
      <w:rFonts w:ascii="Times New Roman Bold" w:hAnsi="Times New Roman Bold" w:cs="Times New Roman Bold"/>
      <w:b/>
      <w:bCs/>
    </w:rPr>
  </w:style>
  <w:style w:type="paragraph" w:customStyle="1" w:styleId="GowlingsRight">
    <w:name w:val="Gowlings_Right"/>
    <w:aliases w:val="R"/>
    <w:basedOn w:val="Gowlingspara"/>
    <w:pPr>
      <w:jc w:val="right"/>
    </w:pPr>
  </w:style>
  <w:style w:type="paragraph" w:customStyle="1" w:styleId="GowlingsSubHeading">
    <w:name w:val="Gowlings_SubHeading"/>
    <w:basedOn w:val="Gowlingspara"/>
    <w:next w:val="Gowlingspara"/>
    <w:pPr>
      <w:keepNext/>
      <w:keepLines/>
      <w:spacing w:before="120"/>
      <w:jc w:val="left"/>
      <w:outlineLvl w:val="1"/>
    </w:pPr>
    <w:rPr>
      <w:rFonts w:ascii="Times New Roman Bold" w:hAnsi="Times New Roman Bold" w:cs="Times New Roman Bold"/>
      <w:b/>
      <w:bCs/>
      <w:u w:val="single"/>
    </w:rPr>
  </w:style>
  <w:style w:type="paragraph" w:customStyle="1" w:styleId="GowlingsTab">
    <w:name w:val="Gowlings_Tab"/>
    <w:aliases w:val="T"/>
    <w:basedOn w:val="Gowlingspara"/>
    <w:pPr>
      <w:ind w:firstLine="720"/>
    </w:pPr>
  </w:style>
  <w:style w:type="paragraph" w:customStyle="1" w:styleId="GowlingsTab2">
    <w:name w:val="Gowlings_Tab2"/>
    <w:aliases w:val="T2"/>
    <w:basedOn w:val="Gowlingspara"/>
    <w:pPr>
      <w:ind w:firstLine="1440"/>
    </w:pPr>
  </w:style>
  <w:style w:type="character" w:styleId="PageNumber">
    <w:name w:val="page number"/>
    <w:basedOn w:val="DefaultParagraphFont"/>
    <w:rPr>
      <w:sz w:val="24"/>
      <w:szCs w:val="24"/>
    </w:rPr>
  </w:style>
  <w:style w:type="character" w:customStyle="1" w:styleId="Prompt">
    <w:name w:val="Prompt"/>
    <w:aliases w:val="Pr,pt"/>
    <w:basedOn w:val="DefaultParagraphFont"/>
    <w:rPr>
      <w:color w:val="auto"/>
    </w:rPr>
  </w:style>
  <w:style w:type="paragraph" w:customStyle="1" w:styleId="Schedule">
    <w:name w:val="Schedule"/>
    <w:aliases w:val="Sch"/>
    <w:basedOn w:val="Gowlingspara"/>
    <w:next w:val="Gowlingspara"/>
    <w:pPr>
      <w:keepNext/>
      <w:jc w:val="center"/>
    </w:pPr>
    <w:rPr>
      <w:rFonts w:ascii="Times New Roman Bold" w:hAnsi="Times New Roman Bold" w:cs="Times New Roman Bold"/>
      <w:b/>
      <w:bCs/>
      <w:caps/>
    </w:rPr>
  </w:style>
  <w:style w:type="paragraph" w:customStyle="1" w:styleId="ArticleL1">
    <w:name w:val="Article_L1"/>
    <w:basedOn w:val="Normal"/>
    <w:next w:val="ArticleL2"/>
    <w:pPr>
      <w:keepNext/>
      <w:numPr>
        <w:numId w:val="1"/>
      </w:numPr>
      <w:spacing w:after="240"/>
      <w:jc w:val="center"/>
      <w:outlineLvl w:val="0"/>
    </w:pPr>
    <w:rPr>
      <w:b/>
      <w:bCs/>
      <w:caps/>
    </w:rPr>
  </w:style>
  <w:style w:type="paragraph" w:customStyle="1" w:styleId="ArticleL2">
    <w:name w:val="Article_L2"/>
    <w:basedOn w:val="ArticleL1"/>
    <w:next w:val="Gowlingspara"/>
    <w:pPr>
      <w:numPr>
        <w:ilvl w:val="1"/>
      </w:numPr>
      <w:jc w:val="both"/>
      <w:outlineLvl w:val="1"/>
    </w:pPr>
    <w:rPr>
      <w:caps w:val="0"/>
    </w:rPr>
  </w:style>
  <w:style w:type="paragraph" w:customStyle="1" w:styleId="ArticleL3">
    <w:name w:val="Article_L3"/>
    <w:basedOn w:val="ArticleL2"/>
    <w:pPr>
      <w:keepNext w:val="0"/>
      <w:numPr>
        <w:ilvl w:val="2"/>
      </w:numPr>
      <w:outlineLvl w:val="2"/>
    </w:pPr>
    <w:rPr>
      <w:b w:val="0"/>
      <w:bCs w:val="0"/>
    </w:rPr>
  </w:style>
  <w:style w:type="paragraph" w:customStyle="1" w:styleId="ArticleL4">
    <w:name w:val="Article_L4"/>
    <w:basedOn w:val="ArticleL3"/>
    <w:pPr>
      <w:numPr>
        <w:ilvl w:val="3"/>
      </w:numPr>
      <w:outlineLvl w:val="3"/>
    </w:pPr>
  </w:style>
  <w:style w:type="paragraph" w:customStyle="1" w:styleId="ArticleL5">
    <w:name w:val="Article_L5"/>
    <w:basedOn w:val="ArticleL4"/>
    <w:pPr>
      <w:numPr>
        <w:ilvl w:val="4"/>
      </w:numPr>
      <w:outlineLvl w:val="4"/>
    </w:pPr>
  </w:style>
  <w:style w:type="paragraph" w:customStyle="1" w:styleId="ArticleL6">
    <w:name w:val="Article_L6"/>
    <w:basedOn w:val="ArticleL5"/>
    <w:pPr>
      <w:numPr>
        <w:ilvl w:val="5"/>
      </w:numPr>
      <w:outlineLvl w:val="5"/>
    </w:pPr>
  </w:style>
  <w:style w:type="paragraph" w:customStyle="1" w:styleId="ArticleL7">
    <w:name w:val="Article_L7"/>
    <w:basedOn w:val="ArticleL6"/>
    <w:pPr>
      <w:numPr>
        <w:ilvl w:val="6"/>
      </w:numPr>
      <w:outlineLvl w:val="6"/>
    </w:pPr>
  </w:style>
  <w:style w:type="paragraph" w:customStyle="1" w:styleId="ArticleL8">
    <w:name w:val="Article_L8"/>
    <w:basedOn w:val="ArticleL7"/>
    <w:pPr>
      <w:numPr>
        <w:ilvl w:val="7"/>
      </w:numPr>
      <w:outlineLvl w:val="7"/>
    </w:pPr>
  </w:style>
  <w:style w:type="paragraph" w:customStyle="1" w:styleId="ArticleL9">
    <w:name w:val="Article_L9"/>
    <w:basedOn w:val="ArticleL8"/>
    <w:pPr>
      <w:numPr>
        <w:ilvl w:val="8"/>
      </w:numPr>
      <w:outlineLvl w:val="8"/>
    </w:pPr>
  </w:style>
  <w:style w:type="paragraph" w:customStyle="1" w:styleId="TxBrp5">
    <w:name w:val="TxBr_p5"/>
    <w:basedOn w:val="Normal"/>
    <w:pPr>
      <w:widowControl w:val="0"/>
      <w:tabs>
        <w:tab w:val="left" w:pos="748"/>
      </w:tabs>
      <w:spacing w:line="240" w:lineRule="atLeast"/>
      <w:ind w:left="635" w:hanging="748"/>
    </w:pPr>
  </w:style>
  <w:style w:type="paragraph" w:customStyle="1" w:styleId="TxBrp7">
    <w:name w:val="TxBr_p7"/>
    <w:basedOn w:val="Normal"/>
    <w:pPr>
      <w:widowControl w:val="0"/>
      <w:spacing w:line="283" w:lineRule="atLeast"/>
      <w:ind w:left="635" w:hanging="748"/>
    </w:pPr>
  </w:style>
  <w:style w:type="paragraph" w:customStyle="1" w:styleId="TxBrp8">
    <w:name w:val="TxBr_p8"/>
    <w:basedOn w:val="Normal"/>
    <w:pPr>
      <w:widowControl w:val="0"/>
      <w:tabs>
        <w:tab w:val="left" w:pos="1462"/>
      </w:tabs>
      <w:spacing w:line="283" w:lineRule="atLeast"/>
      <w:ind w:left="1462" w:hanging="714"/>
    </w:pPr>
  </w:style>
  <w:style w:type="paragraph" w:customStyle="1" w:styleId="TxBrp10">
    <w:name w:val="TxBr_p10"/>
    <w:basedOn w:val="Normal"/>
    <w:pPr>
      <w:widowControl w:val="0"/>
      <w:tabs>
        <w:tab w:val="left" w:pos="748"/>
      </w:tabs>
      <w:spacing w:line="283" w:lineRule="atLeast"/>
      <w:ind w:left="635"/>
      <w:jc w:val="both"/>
    </w:pPr>
  </w:style>
  <w:style w:type="paragraph" w:customStyle="1" w:styleId="TxBrp11">
    <w:name w:val="TxBr_p11"/>
    <w:basedOn w:val="Normal"/>
    <w:pPr>
      <w:widowControl w:val="0"/>
      <w:tabs>
        <w:tab w:val="left" w:pos="1462"/>
      </w:tabs>
      <w:spacing w:line="283" w:lineRule="atLeast"/>
      <w:ind w:left="1462" w:hanging="714"/>
      <w:jc w:val="both"/>
    </w:pPr>
  </w:style>
  <w:style w:type="paragraph" w:customStyle="1" w:styleId="TxBrp12">
    <w:name w:val="TxBr_p12"/>
    <w:basedOn w:val="Normal"/>
    <w:pPr>
      <w:widowControl w:val="0"/>
      <w:tabs>
        <w:tab w:val="left" w:pos="2914"/>
      </w:tabs>
      <w:spacing w:line="283" w:lineRule="atLeast"/>
      <w:ind w:left="2914" w:hanging="720"/>
      <w:jc w:val="both"/>
    </w:pPr>
  </w:style>
  <w:style w:type="paragraph" w:customStyle="1" w:styleId="TxBrp13">
    <w:name w:val="TxBr_p13"/>
    <w:basedOn w:val="Normal"/>
    <w:pPr>
      <w:widowControl w:val="0"/>
      <w:tabs>
        <w:tab w:val="left" w:pos="1462"/>
      </w:tabs>
      <w:spacing w:line="283" w:lineRule="atLeast"/>
      <w:ind w:left="79"/>
      <w:jc w:val="both"/>
    </w:pPr>
  </w:style>
  <w:style w:type="paragraph" w:customStyle="1" w:styleId="TxBrp14">
    <w:name w:val="TxBr_p14"/>
    <w:basedOn w:val="Normal"/>
    <w:pPr>
      <w:widowControl w:val="0"/>
      <w:tabs>
        <w:tab w:val="left" w:pos="748"/>
      </w:tabs>
      <w:spacing w:line="283" w:lineRule="atLeast"/>
      <w:ind w:left="635" w:hanging="748"/>
      <w:jc w:val="both"/>
    </w:pPr>
  </w:style>
  <w:style w:type="paragraph" w:customStyle="1" w:styleId="TxBrp15">
    <w:name w:val="TxBr_p15"/>
    <w:basedOn w:val="Normal"/>
    <w:pPr>
      <w:widowControl w:val="0"/>
      <w:spacing w:line="240" w:lineRule="atLeast"/>
      <w:ind w:left="635" w:hanging="748"/>
      <w:jc w:val="both"/>
    </w:pPr>
  </w:style>
  <w:style w:type="paragraph" w:customStyle="1" w:styleId="TxBrp16">
    <w:name w:val="TxBr_p16"/>
    <w:basedOn w:val="Normal"/>
    <w:pPr>
      <w:widowControl w:val="0"/>
      <w:spacing w:line="283" w:lineRule="atLeast"/>
      <w:jc w:val="both"/>
    </w:pPr>
  </w:style>
  <w:style w:type="paragraph" w:customStyle="1" w:styleId="TxBrp6">
    <w:name w:val="TxBr_p6"/>
    <w:basedOn w:val="Normal"/>
    <w:pPr>
      <w:widowControl w:val="0"/>
      <w:spacing w:line="283" w:lineRule="atLeast"/>
    </w:pPr>
  </w:style>
  <w:style w:type="paragraph" w:customStyle="1" w:styleId="TxBrp18">
    <w:name w:val="TxBr_p18"/>
    <w:basedOn w:val="Normal"/>
    <w:pPr>
      <w:widowControl w:val="0"/>
      <w:tabs>
        <w:tab w:val="left" w:pos="4716"/>
      </w:tabs>
      <w:spacing w:line="240" w:lineRule="atLeast"/>
      <w:ind w:left="3334"/>
      <w:jc w:val="both"/>
    </w:pPr>
  </w:style>
  <w:style w:type="paragraph" w:customStyle="1" w:styleId="TxBrc3">
    <w:name w:val="TxBr_c3"/>
    <w:basedOn w:val="Normal"/>
    <w:pPr>
      <w:widowControl w:val="0"/>
      <w:spacing w:line="240" w:lineRule="atLeast"/>
      <w:jc w:val="center"/>
    </w:pPr>
  </w:style>
  <w:style w:type="paragraph" w:customStyle="1" w:styleId="TxBrp22">
    <w:name w:val="TxBr_p22"/>
    <w:basedOn w:val="Normal"/>
    <w:pPr>
      <w:widowControl w:val="0"/>
      <w:tabs>
        <w:tab w:val="left" w:pos="2194"/>
        <w:tab w:val="left" w:pos="2914"/>
      </w:tabs>
      <w:spacing w:line="283" w:lineRule="atLeast"/>
      <w:ind w:left="2914" w:hanging="720"/>
    </w:pPr>
  </w:style>
  <w:style w:type="paragraph" w:customStyle="1" w:styleId="TxBrc24">
    <w:name w:val="TxBr_c24"/>
    <w:basedOn w:val="Normal"/>
    <w:pPr>
      <w:widowControl w:val="0"/>
      <w:spacing w:line="240" w:lineRule="atLeast"/>
      <w:jc w:val="center"/>
    </w:pPr>
  </w:style>
  <w:style w:type="paragraph" w:customStyle="1" w:styleId="TxBrp27">
    <w:name w:val="TxBr_p27"/>
    <w:basedOn w:val="Normal"/>
    <w:pPr>
      <w:widowControl w:val="0"/>
      <w:tabs>
        <w:tab w:val="left" w:pos="204"/>
      </w:tabs>
      <w:spacing w:line="283" w:lineRule="atLeast"/>
      <w:jc w:val="both"/>
    </w:pPr>
  </w:style>
  <w:style w:type="paragraph" w:customStyle="1" w:styleId="TxBrp30">
    <w:name w:val="TxBr_p30"/>
    <w:basedOn w:val="Normal"/>
    <w:pPr>
      <w:widowControl w:val="0"/>
      <w:spacing w:line="240" w:lineRule="atLeast"/>
      <w:jc w:val="both"/>
    </w:pPr>
  </w:style>
  <w:style w:type="paragraph" w:customStyle="1" w:styleId="TxBrp29">
    <w:name w:val="TxBr_p29"/>
    <w:basedOn w:val="Normal"/>
    <w:pPr>
      <w:widowControl w:val="0"/>
      <w:tabs>
        <w:tab w:val="left" w:pos="737"/>
      </w:tabs>
      <w:spacing w:line="283" w:lineRule="atLeast"/>
      <w:ind w:left="646" w:hanging="737"/>
      <w:jc w:val="both"/>
    </w:pPr>
  </w:style>
  <w:style w:type="paragraph" w:customStyle="1" w:styleId="TxBrp31">
    <w:name w:val="TxBr_p31"/>
    <w:basedOn w:val="Normal"/>
    <w:pPr>
      <w:widowControl w:val="0"/>
      <w:spacing w:line="240" w:lineRule="atLeast"/>
      <w:jc w:val="both"/>
    </w:pPr>
  </w:style>
  <w:style w:type="paragraph" w:customStyle="1" w:styleId="TxBrp32">
    <w:name w:val="TxBr_p32"/>
    <w:basedOn w:val="Normal"/>
    <w:pPr>
      <w:widowControl w:val="0"/>
      <w:spacing w:line="283" w:lineRule="atLeast"/>
      <w:ind w:left="646"/>
      <w:jc w:val="both"/>
    </w:pPr>
  </w:style>
  <w:style w:type="paragraph" w:customStyle="1" w:styleId="TxBrp33">
    <w:name w:val="TxBr_p33"/>
    <w:basedOn w:val="Normal"/>
    <w:pPr>
      <w:widowControl w:val="0"/>
      <w:tabs>
        <w:tab w:val="left" w:pos="1422"/>
      </w:tabs>
      <w:spacing w:line="283" w:lineRule="atLeast"/>
      <w:ind w:left="1423" w:hanging="686"/>
      <w:jc w:val="both"/>
    </w:pPr>
  </w:style>
  <w:style w:type="paragraph" w:customStyle="1" w:styleId="TxBrt35">
    <w:name w:val="TxBr_t35"/>
    <w:basedOn w:val="Normal"/>
    <w:pPr>
      <w:widowControl w:val="0"/>
      <w:spacing w:line="532" w:lineRule="atLeast"/>
    </w:pPr>
  </w:style>
  <w:style w:type="paragraph" w:customStyle="1" w:styleId="TxBrc37">
    <w:name w:val="TxBr_c37"/>
    <w:basedOn w:val="Normal"/>
    <w:pPr>
      <w:widowControl w:val="0"/>
      <w:spacing w:line="240" w:lineRule="atLeast"/>
      <w:jc w:val="center"/>
    </w:pPr>
  </w:style>
  <w:style w:type="paragraph" w:customStyle="1" w:styleId="StandardL1">
    <w:name w:val="Standard_L1"/>
    <w:basedOn w:val="Normal"/>
    <w:pPr>
      <w:numPr>
        <w:numId w:val="2"/>
      </w:numPr>
      <w:spacing w:after="240"/>
      <w:jc w:val="both"/>
      <w:outlineLvl w:val="0"/>
    </w:pPr>
  </w:style>
  <w:style w:type="paragraph" w:customStyle="1" w:styleId="StandardL2">
    <w:name w:val="Standard_L2"/>
    <w:basedOn w:val="StandardL1"/>
    <w:pPr>
      <w:numPr>
        <w:ilvl w:val="1"/>
      </w:numPr>
      <w:outlineLvl w:val="1"/>
    </w:pPr>
  </w:style>
  <w:style w:type="paragraph" w:customStyle="1" w:styleId="StandardL3">
    <w:name w:val="Standard_L3"/>
    <w:basedOn w:val="StandardL2"/>
    <w:pPr>
      <w:numPr>
        <w:ilvl w:val="2"/>
      </w:numPr>
      <w:outlineLvl w:val="2"/>
    </w:pPr>
  </w:style>
  <w:style w:type="paragraph" w:customStyle="1" w:styleId="StandardL4">
    <w:name w:val="Standard_L4"/>
    <w:basedOn w:val="StandardL3"/>
    <w:pPr>
      <w:numPr>
        <w:ilvl w:val="3"/>
      </w:numPr>
      <w:outlineLvl w:val="3"/>
    </w:pPr>
  </w:style>
  <w:style w:type="paragraph" w:customStyle="1" w:styleId="StandardL5">
    <w:name w:val="Standard_L5"/>
    <w:basedOn w:val="StandardL4"/>
    <w:pPr>
      <w:numPr>
        <w:ilvl w:val="4"/>
      </w:numPr>
      <w:outlineLvl w:val="4"/>
    </w:pPr>
  </w:style>
  <w:style w:type="paragraph" w:customStyle="1" w:styleId="StandardL6">
    <w:name w:val="Standard_L6"/>
    <w:basedOn w:val="StandardL5"/>
    <w:pPr>
      <w:numPr>
        <w:ilvl w:val="5"/>
      </w:numPr>
      <w:outlineLvl w:val="5"/>
    </w:pPr>
  </w:style>
  <w:style w:type="paragraph" w:customStyle="1" w:styleId="StandardL7">
    <w:name w:val="Standard_L7"/>
    <w:basedOn w:val="StandardL6"/>
    <w:pPr>
      <w:numPr>
        <w:ilvl w:val="6"/>
      </w:numPr>
      <w:outlineLvl w:val="6"/>
    </w:pPr>
  </w:style>
  <w:style w:type="paragraph" w:customStyle="1" w:styleId="StandardL8">
    <w:name w:val="Standard_L8"/>
    <w:basedOn w:val="StandardL7"/>
    <w:pPr>
      <w:numPr>
        <w:ilvl w:val="7"/>
      </w:numPr>
      <w:outlineLvl w:val="7"/>
    </w:pPr>
  </w:style>
  <w:style w:type="paragraph" w:customStyle="1" w:styleId="StandardL9">
    <w:name w:val="Standard_L9"/>
    <w:basedOn w:val="StandardL8"/>
    <w:pPr>
      <w:numPr>
        <w:ilvl w:val="8"/>
      </w:numPr>
      <w:outlineLvl w:val="8"/>
    </w:pPr>
  </w:style>
  <w:style w:type="character" w:customStyle="1" w:styleId="CrossRef">
    <w:name w:val="CrossRef"/>
    <w:basedOn w:val="DefaultParagraphFont"/>
  </w:style>
  <w:style w:type="paragraph" w:customStyle="1" w:styleId="1Paragraph">
    <w:name w:val="1Paragraph"/>
    <w:pPr>
      <w:tabs>
        <w:tab w:val="left" w:pos="720"/>
      </w:tabs>
      <w:autoSpaceDE w:val="0"/>
      <w:autoSpaceDN w:val="0"/>
      <w:adjustRightInd w:val="0"/>
      <w:ind w:left="720" w:hanging="720"/>
    </w:pPr>
    <w:rPr>
      <w:lang w:val="fr-CA" w:eastAsia="ja-JP"/>
    </w:rPr>
  </w:style>
  <w:style w:type="paragraph" w:customStyle="1" w:styleId="3Paragraph">
    <w:name w:val="3Paragraph"/>
    <w:pPr>
      <w:tabs>
        <w:tab w:val="left" w:pos="720"/>
        <w:tab w:val="left" w:pos="1440"/>
        <w:tab w:val="left" w:pos="2160"/>
      </w:tabs>
      <w:autoSpaceDE w:val="0"/>
      <w:autoSpaceDN w:val="0"/>
      <w:adjustRightInd w:val="0"/>
      <w:ind w:left="2160" w:hanging="720"/>
    </w:pPr>
    <w:rPr>
      <w:lang w:val="fr-CA" w:eastAsia="ja-JP"/>
    </w:rPr>
  </w:style>
  <w:style w:type="paragraph" w:customStyle="1" w:styleId="4Paragraph">
    <w:name w:val="4Paragraph"/>
    <w:pPr>
      <w:tabs>
        <w:tab w:val="left" w:pos="720"/>
        <w:tab w:val="left" w:pos="1440"/>
        <w:tab w:val="left" w:pos="2160"/>
        <w:tab w:val="left" w:pos="2880"/>
      </w:tabs>
      <w:autoSpaceDE w:val="0"/>
      <w:autoSpaceDN w:val="0"/>
      <w:adjustRightInd w:val="0"/>
      <w:ind w:left="2880" w:hanging="720"/>
    </w:pPr>
    <w:rPr>
      <w:lang w:val="fr-CA" w:eastAsia="ja-JP"/>
    </w:rPr>
  </w:style>
  <w:style w:type="paragraph" w:customStyle="1" w:styleId="ssnormal">
    <w:name w:val="ssnormal"/>
    <w:basedOn w:val="Normal"/>
    <w:rPr>
      <w:color w:val="000000"/>
    </w:rPr>
  </w:style>
  <w:style w:type="paragraph" w:customStyle="1" w:styleId="MT1">
    <w:name w:val="MT1"/>
    <w:basedOn w:val="Normal"/>
    <w:pPr>
      <w:numPr>
        <w:numId w:val="4"/>
      </w:numPr>
      <w:spacing w:after="240"/>
      <w:outlineLvl w:val="0"/>
    </w:pPr>
  </w:style>
  <w:style w:type="paragraph" w:customStyle="1" w:styleId="MT2">
    <w:name w:val="MT2"/>
    <w:basedOn w:val="Normal"/>
    <w:pPr>
      <w:numPr>
        <w:ilvl w:val="1"/>
        <w:numId w:val="4"/>
      </w:numPr>
      <w:spacing w:after="240"/>
      <w:outlineLvl w:val="1"/>
    </w:pPr>
  </w:style>
  <w:style w:type="paragraph" w:customStyle="1" w:styleId="MT3">
    <w:name w:val="MT3"/>
    <w:basedOn w:val="Normal"/>
    <w:pPr>
      <w:numPr>
        <w:ilvl w:val="2"/>
        <w:numId w:val="4"/>
      </w:numPr>
      <w:spacing w:after="240"/>
    </w:pPr>
  </w:style>
  <w:style w:type="paragraph" w:customStyle="1" w:styleId="MT4">
    <w:name w:val="MT4"/>
    <w:basedOn w:val="Normal"/>
    <w:pPr>
      <w:numPr>
        <w:ilvl w:val="3"/>
        <w:numId w:val="4"/>
      </w:numPr>
      <w:spacing w:after="240"/>
    </w:pPr>
  </w:style>
  <w:style w:type="paragraph" w:customStyle="1" w:styleId="MT5">
    <w:name w:val="MT5"/>
    <w:basedOn w:val="Normal"/>
    <w:pPr>
      <w:numPr>
        <w:ilvl w:val="4"/>
        <w:numId w:val="4"/>
      </w:numPr>
      <w:spacing w:after="240"/>
    </w:pPr>
  </w:style>
  <w:style w:type="paragraph" w:customStyle="1" w:styleId="MT6">
    <w:name w:val="MT6"/>
    <w:basedOn w:val="Normal"/>
    <w:pPr>
      <w:numPr>
        <w:ilvl w:val="5"/>
        <w:numId w:val="4"/>
      </w:numPr>
      <w:spacing w:after="240"/>
    </w:pPr>
  </w:style>
  <w:style w:type="paragraph" w:customStyle="1" w:styleId="MT7">
    <w:name w:val="MT7"/>
    <w:basedOn w:val="Normal"/>
    <w:pPr>
      <w:numPr>
        <w:ilvl w:val="6"/>
        <w:numId w:val="4"/>
      </w:numPr>
      <w:spacing w:after="240"/>
    </w:pPr>
  </w:style>
  <w:style w:type="paragraph" w:customStyle="1" w:styleId="MT8">
    <w:name w:val="MT8"/>
    <w:basedOn w:val="Normal"/>
    <w:pPr>
      <w:numPr>
        <w:ilvl w:val="7"/>
        <w:numId w:val="4"/>
      </w:numPr>
      <w:spacing w:after="240"/>
    </w:pPr>
  </w:style>
  <w:style w:type="paragraph" w:customStyle="1" w:styleId="MT9">
    <w:name w:val="MT9"/>
    <w:basedOn w:val="Normal"/>
    <w:pPr>
      <w:numPr>
        <w:ilvl w:val="8"/>
        <w:numId w:val="4"/>
      </w:numPr>
      <w:spacing w:after="240"/>
    </w:pPr>
  </w:style>
  <w:style w:type="paragraph" w:customStyle="1" w:styleId="DWPVBulletlist1">
    <w:name w:val="DWPVBullet list1"/>
    <w:aliases w:val="BL1"/>
    <w:basedOn w:val="Normal"/>
    <w:pPr>
      <w:numPr>
        <w:numId w:val="5"/>
      </w:numPr>
      <w:spacing w:after="120"/>
      <w:jc w:val="both"/>
    </w:pPr>
  </w:style>
  <w:style w:type="paragraph" w:customStyle="1" w:styleId="ssresheading">
    <w:name w:val="ssresheading"/>
    <w:pPr>
      <w:jc w:val="center"/>
    </w:pPr>
    <w:rPr>
      <w:sz w:val="24"/>
      <w:szCs w:val="24"/>
      <w:lang w:val="fr-CA" w:eastAsia="ja-JP"/>
    </w:rPr>
  </w:style>
  <w:style w:type="paragraph" w:customStyle="1" w:styleId="MainHeadingnoU">
    <w:name w:val="MainHeading(noU)"/>
    <w:basedOn w:val="Normal"/>
    <w:pPr>
      <w:keepNext/>
      <w:keepLines/>
      <w:spacing w:before="120" w:after="240"/>
      <w:jc w:val="center"/>
      <w:outlineLvl w:val="0"/>
    </w:pPr>
    <w:rPr>
      <w:rFonts w:ascii="Times New Roman Bold" w:hAnsi="Times New Roman Bold" w:cs="Times New Roman Bold"/>
      <w:b/>
      <w:bCs/>
      <w:caps/>
      <w:u w:val="single"/>
    </w:rPr>
  </w:style>
  <w:style w:type="paragraph" w:customStyle="1" w:styleId="SigningLine">
    <w:name w:val="SigningLine"/>
    <w:basedOn w:val="Normal"/>
    <w:pPr>
      <w:keepLines/>
      <w:spacing w:before="40" w:after="40"/>
    </w:pPr>
  </w:style>
  <w:style w:type="paragraph" w:customStyle="1" w:styleId="SigningLineCoName">
    <w:name w:val="SigningLineCoName"/>
    <w:basedOn w:val="SigningLine"/>
    <w:pPr>
      <w:keepNext/>
      <w:spacing w:before="0" w:after="240"/>
    </w:pPr>
    <w:rPr>
      <w:rFonts w:ascii="Times New Roman Bold" w:hAnsi="Times New Roman Bold" w:cs="Times New Roman Bold"/>
      <w:b/>
      <w:bCs/>
      <w:caps/>
    </w:rPr>
  </w:style>
  <w:style w:type="paragraph" w:customStyle="1" w:styleId="ssHeading2">
    <w:name w:val="ssHeading2"/>
    <w:pPr>
      <w:keepNext/>
      <w:spacing w:after="240"/>
    </w:pPr>
    <w:rPr>
      <w:b/>
      <w:bCs/>
      <w:sz w:val="24"/>
      <w:szCs w:val="24"/>
      <w:u w:val="single"/>
      <w:lang w:val="fr-CA" w:eastAsia="ja-JP"/>
    </w:rPr>
  </w:style>
  <w:style w:type="paragraph" w:customStyle="1" w:styleId="ssbody">
    <w:name w:val="ssbody"/>
    <w:basedOn w:val="Normal"/>
  </w:style>
  <w:style w:type="character" w:customStyle="1" w:styleId="zzmpTrailerItem">
    <w:name w:val="zzmpTrailerItem"/>
    <w:basedOn w:val="DefaultParagraphFont"/>
    <w:rsid w:val="00B6189D"/>
    <w:rPr>
      <w:rFonts w:ascii="Times New Roman" w:hAnsi="Times New Roman" w:cs="Times New Roman"/>
      <w:color w:val="auto"/>
      <w:sz w:val="16"/>
      <w:szCs w:val="16"/>
      <w:u w:val="none"/>
      <w:effect w:val="none"/>
      <w:vertAlign w:val="baseline"/>
    </w:rPr>
  </w:style>
  <w:style w:type="paragraph" w:styleId="BalloonText">
    <w:name w:val="Balloon Text"/>
    <w:basedOn w:val="Normal"/>
    <w:link w:val="BalloonTextChar"/>
    <w:semiHidden/>
    <w:rsid w:val="004F2B4E"/>
    <w:rPr>
      <w:rFonts w:ascii="Tahoma" w:hAnsi="Tahoma" w:cs="Tahoma"/>
      <w:sz w:val="16"/>
      <w:szCs w:val="16"/>
    </w:rPr>
  </w:style>
  <w:style w:type="character" w:customStyle="1" w:styleId="BalloonTextChar">
    <w:name w:val="Balloon Text Char"/>
    <w:basedOn w:val="DefaultParagraphFont"/>
    <w:link w:val="BalloonText"/>
    <w:semiHidden/>
    <w:locked/>
    <w:rsid w:val="004F2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group\4105\OHH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OHHstandard.dot</Template>
  <TotalTime>0</TotalTime>
  <Pages>1</Pages>
  <Words>1023</Words>
  <Characters>5834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_</vt:lpstr>
    </vt:vector>
  </TitlesOfParts>
  <LinksUpToDate>false</LinksUpToDate>
  <CharactersWithSpaces>6844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mbeebe</dc:creator>
  <cp:lastModifiedBy/>
  <cp:revision>1</cp:revision>
  <cp:lastPrinted>2012-11-07T20:31:00Z</cp:lastPrinted>
  <dcterms:created xsi:type="dcterms:W3CDTF">2013-10-22T19:45:00Z</dcterms:created>
  <dcterms:modified xsi:type="dcterms:W3CDTF">2013-10-22T19:45:00Z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VAsWQhPLjOmXn9PU5C7SWmrk00ekiiEeI9agdF+31RP/bCViskoNluiwRzF3mVvaf_x000d__x000d_8Jz/nJXlJtFT9t1FW8uvSXX5rSWiWwzo60y9nkNRn+2cdM33Wset4wZcLOnd9yOf8Jz/nJXlJtFT_x000d__x000d_9t1FW8uvSXX5rSWiWwzo60y9nkNRn+2cdM33Wsetox3Ekw1QC2uZiXSleTtu7sgI1SfCaALc+BO6_x000d__x000d_FjKErhapBnfvSW6KM</vt:lpwstr>
  </property>
  <property fmtid="{D5CDD505-2E9C-101B-9397-08002B2CF9AE}" pid="3" name="MAIL_MSG_ID2">
    <vt:lpwstr>3cCMerlKBO6aCaUXn6w2GKatgSxDZHrb6cYvSnXOO+qNlVLqbVUARn89/Zd_x000d__x000d_scCdM3MN6JcgxuOIdiQ8BiCFDvzDnG2s/tyoPg==</vt:lpwstr>
  </property>
  <property fmtid="{D5CDD505-2E9C-101B-9397-08002B2CF9AE}" pid="4" name="RESPONSE_SENDER_NAME">
    <vt:lpwstr>sAAA2RgG6J6jCJ2/cssbTb/8Ec/GR0zDjQAXkxx05++7pZQ=</vt:lpwstr>
  </property>
  <property fmtid="{D5CDD505-2E9C-101B-9397-08002B2CF9AE}" pid="5" name="EMAIL_OWNER_ADDRESS">
    <vt:lpwstr>ABAAMV6B7YzPbaKed5isp88EjrwtVrKFqEQ6TUTJo89+5AV2JDwGIIUO/CHKEDuZi7WL</vt:lpwstr>
  </property>
</Properties>
</file>